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25" w:line="240" w:lineRule="auto"/>
        <w:ind w:left="0" w:right="0" w:firstLine="0"/>
        <w:jc w:val="center"/>
        <w:rPr>
          <w:rFonts w:asciiTheme="minorEastAsia" w:hAnsiTheme="minorEastAsia" w:eastAsiaTheme="minorEastAsia"/>
          <w:sz w:val="52"/>
        </w:rPr>
      </w:pPr>
      <w:r>
        <w:rPr>
          <w:rFonts w:asciiTheme="minorEastAsia" w:hAnsiTheme="minorEastAsia" w:eastAsiaTheme="minorEastAsia"/>
          <w:sz w:val="52"/>
        </w:rPr>
        <w:t>服务类</w:t>
      </w:r>
      <w:r>
        <w:rPr>
          <w:rFonts w:asciiTheme="minorEastAsia" w:hAnsiTheme="minorEastAsia" w:eastAsiaTheme="minorEastAsia" w:cstheme="minorHAnsi"/>
          <w:sz w:val="52"/>
        </w:rPr>
        <w:t>招标</w:t>
      </w:r>
      <w:r>
        <w:rPr>
          <w:rFonts w:asciiTheme="minorEastAsia" w:hAnsiTheme="minorEastAsia" w:eastAsiaTheme="minorEastAsia"/>
          <w:sz w:val="52"/>
        </w:rPr>
        <w:t xml:space="preserve">文件 </w:t>
      </w:r>
    </w:p>
    <w:p>
      <w:pPr>
        <w:spacing w:after="248" w:line="240" w:lineRule="auto"/>
        <w:ind w:left="0" w:right="39" w:firstLine="0"/>
        <w:jc w:val="right"/>
      </w:pPr>
      <w:r>
        <w:t xml:space="preserve"> </w:t>
      </w:r>
    </w:p>
    <w:p>
      <w:pPr>
        <w:spacing w:after="248" w:line="240" w:lineRule="auto"/>
        <w:ind w:left="0" w:right="39" w:firstLine="0"/>
        <w:jc w:val="right"/>
      </w:pPr>
      <w:r>
        <w:t xml:space="preserve"> </w:t>
      </w:r>
    </w:p>
    <w:p>
      <w:pPr>
        <w:spacing w:after="233" w:line="240" w:lineRule="auto"/>
        <w:ind w:left="0" w:right="39" w:firstLine="0"/>
        <w:jc w:val="right"/>
      </w:pPr>
      <w:r>
        <w:t xml:space="preserve"> </w:t>
      </w:r>
    </w:p>
    <w:p>
      <w:pPr>
        <w:spacing w:after="247" w:line="240" w:lineRule="auto"/>
        <w:ind w:left="0" w:right="39" w:firstLine="0"/>
        <w:jc w:val="right"/>
      </w:pPr>
      <w:r>
        <w:t xml:space="preserve"> </w:t>
      </w:r>
    </w:p>
    <w:p>
      <w:pPr>
        <w:spacing w:after="89" w:line="240" w:lineRule="auto"/>
        <w:ind w:left="0" w:right="39" w:firstLine="0"/>
        <w:jc w:val="right"/>
      </w:pPr>
      <w:r>
        <w:t xml:space="preserve"> </w:t>
      </w:r>
    </w:p>
    <w:p>
      <w:pPr>
        <w:spacing w:after="181" w:line="240" w:lineRule="auto"/>
        <w:ind w:left="187" w:right="0" w:firstLine="0"/>
      </w:pPr>
      <w:r>
        <w:t xml:space="preserve"> </w:t>
      </w:r>
    </w:p>
    <w:p>
      <w:pPr>
        <w:spacing w:after="71" w:line="240" w:lineRule="auto"/>
        <w:ind w:left="0" w:right="0" w:firstLine="0"/>
        <w:jc w:val="center"/>
      </w:pPr>
      <w:r>
        <w:t xml:space="preserve"> </w:t>
      </w:r>
    </w:p>
    <w:p>
      <w:pPr>
        <w:spacing w:after="219" w:line="240" w:lineRule="auto"/>
        <w:ind w:left="187" w:right="0" w:firstLine="0"/>
      </w:pPr>
      <w:r>
        <w:t xml:space="preserve"> </w:t>
      </w:r>
    </w:p>
    <w:p>
      <w:pPr>
        <w:spacing w:after="219" w:line="240" w:lineRule="auto"/>
        <w:ind w:left="187" w:right="0" w:firstLine="0"/>
      </w:pPr>
    </w:p>
    <w:p>
      <w:pPr>
        <w:spacing w:after="219" w:line="240" w:lineRule="auto"/>
        <w:ind w:left="187" w:right="0" w:firstLine="0"/>
      </w:pPr>
    </w:p>
    <w:p>
      <w:pPr>
        <w:spacing w:after="219" w:line="240" w:lineRule="auto"/>
        <w:ind w:left="187" w:right="0" w:firstLine="0"/>
      </w:pPr>
    </w:p>
    <w:p>
      <w:pPr>
        <w:spacing w:after="219" w:line="240" w:lineRule="auto"/>
        <w:ind w:left="187" w:right="0" w:firstLine="0"/>
      </w:pPr>
    </w:p>
    <w:p>
      <w:pPr>
        <w:spacing w:after="205" w:line="240" w:lineRule="auto"/>
        <w:ind w:left="187" w:right="0" w:firstLine="0"/>
      </w:pPr>
      <w:r>
        <w:t xml:space="preserve"> </w:t>
      </w:r>
    </w:p>
    <w:p>
      <w:pPr>
        <w:spacing w:after="219" w:line="240" w:lineRule="auto"/>
        <w:ind w:left="187" w:right="0" w:firstLine="0"/>
      </w:pPr>
      <w:r>
        <w:t xml:space="preserve"> </w:t>
      </w:r>
    </w:p>
    <w:p>
      <w:pPr>
        <w:spacing w:after="205" w:line="240" w:lineRule="auto"/>
        <w:ind w:left="187" w:right="0" w:firstLine="0"/>
      </w:pPr>
      <w:r>
        <w:t xml:space="preserve"> </w:t>
      </w:r>
    </w:p>
    <w:p>
      <w:pPr>
        <w:spacing w:after="257" w:line="240" w:lineRule="auto"/>
        <w:ind w:left="187" w:right="0" w:firstLine="0"/>
      </w:pPr>
      <w:r>
        <w:t xml:space="preserve"> </w:t>
      </w:r>
    </w:p>
    <w:p>
      <w:pPr>
        <w:spacing w:after="290" w:line="240" w:lineRule="auto"/>
        <w:ind w:left="1437"/>
      </w:pPr>
      <w:r>
        <w:rPr>
          <w:sz w:val="32"/>
        </w:rPr>
        <w:t>项目名称：长丰供水集团</w:t>
      </w:r>
      <w:r>
        <w:rPr>
          <w:rFonts w:hint="eastAsia" w:eastAsiaTheme="minorEastAsia"/>
          <w:sz w:val="32"/>
        </w:rPr>
        <w:t>W</w:t>
      </w:r>
      <w:r>
        <w:rPr>
          <w:rFonts w:eastAsiaTheme="minorEastAsia"/>
          <w:sz w:val="32"/>
        </w:rPr>
        <w:t>MS</w:t>
      </w:r>
      <w:r>
        <w:rPr>
          <w:sz w:val="32"/>
        </w:rPr>
        <w:t xml:space="preserve">智能仓储管理系统建设 </w:t>
      </w:r>
    </w:p>
    <w:p>
      <w:pPr>
        <w:spacing w:after="290" w:line="240" w:lineRule="auto"/>
        <w:ind w:left="1437"/>
      </w:pPr>
      <w:r>
        <w:rPr>
          <w:sz w:val="32"/>
        </w:rPr>
        <w:t xml:space="preserve">项目编号: </w:t>
      </w:r>
    </w:p>
    <w:p>
      <w:pPr>
        <w:spacing w:after="0" w:line="402" w:lineRule="auto"/>
        <w:ind w:left="1437"/>
        <w:rPr>
          <w:rFonts w:eastAsiaTheme="minorEastAsia"/>
          <w:sz w:val="32"/>
        </w:rPr>
      </w:pPr>
      <w:r>
        <w:rPr>
          <w:sz w:val="32"/>
        </w:rPr>
        <w:t>招 标 人：</w:t>
      </w:r>
      <w:r>
        <w:rPr>
          <w:rFonts w:eastAsiaTheme="minorEastAsia"/>
          <w:sz w:val="32"/>
        </w:rPr>
        <w:t xml:space="preserve"> </w:t>
      </w:r>
    </w:p>
    <w:p>
      <w:pPr>
        <w:spacing w:after="0" w:line="402" w:lineRule="auto"/>
        <w:ind w:left="1437"/>
        <w:rPr>
          <w:rFonts w:eastAsiaTheme="minorEastAsia"/>
          <w:sz w:val="32"/>
        </w:rPr>
      </w:pPr>
      <w:r>
        <w:rPr>
          <w:sz w:val="32"/>
        </w:rPr>
        <w:t xml:space="preserve"> 招标代理机构：</w:t>
      </w:r>
      <w:r>
        <w:rPr>
          <w:rFonts w:eastAsiaTheme="minorEastAsia"/>
          <w:sz w:val="32"/>
        </w:rPr>
        <w:t xml:space="preserve"> </w:t>
      </w:r>
    </w:p>
    <w:p>
      <w:pPr>
        <w:spacing w:after="0" w:line="402" w:lineRule="auto"/>
        <w:ind w:left="1437"/>
        <w:rPr>
          <w:sz w:val="32"/>
        </w:rPr>
      </w:pPr>
      <w:r>
        <w:rPr>
          <w:sz w:val="32"/>
        </w:rPr>
        <w:t xml:space="preserve"> 招标时间：二〇二一年十一月 </w:t>
      </w:r>
    </w:p>
    <w:p>
      <w:pPr>
        <w:spacing w:after="0" w:line="402" w:lineRule="auto"/>
        <w:ind w:left="1437"/>
        <w:rPr>
          <w:sz w:val="32"/>
        </w:rPr>
      </w:pPr>
    </w:p>
    <w:p>
      <w:pPr>
        <w:spacing w:after="0" w:line="402" w:lineRule="auto"/>
        <w:ind w:left="1437"/>
      </w:pPr>
    </w:p>
    <w:p>
      <w:pPr>
        <w:spacing w:after="81" w:line="240" w:lineRule="auto"/>
        <w:ind w:left="0" w:right="0" w:firstLine="0"/>
        <w:jc w:val="center"/>
      </w:pPr>
      <w:r>
        <w:rPr>
          <w:sz w:val="32"/>
        </w:rPr>
        <w:t>目  录</w:t>
      </w:r>
      <w:r>
        <w:t xml:space="preserve"> </w:t>
      </w:r>
    </w:p>
    <w:sdt>
      <w:sdtPr>
        <w:id w:val="1430782377"/>
        <w:docPartObj>
          <w:docPartGallery w:val="Table of Contents"/>
          <w:docPartUnique/>
        </w:docPartObj>
      </w:sdtPr>
      <w:sdtContent>
        <w:p>
          <w:pPr>
            <w:pStyle w:val="4"/>
            <w:tabs>
              <w:tab w:val="right" w:leader="dot" w:pos="9768"/>
            </w:tabs>
            <w:rPr>
              <w:rFonts w:asciiTheme="minorHAnsi" w:hAnsiTheme="minorHAnsi" w:eastAsiaTheme="minorEastAsia" w:cstheme="minorBidi"/>
              <w:color w:val="auto"/>
              <w:sz w:val="21"/>
            </w:rPr>
          </w:pPr>
          <w:r>
            <w:fldChar w:fldCharType="begin"/>
          </w:r>
          <w:r>
            <w:instrText xml:space="preserve"> TOC \o "1-2" \h \z \u </w:instrText>
          </w:r>
          <w:r>
            <w:fldChar w:fldCharType="separate"/>
          </w:r>
          <w:r>
            <w:fldChar w:fldCharType="begin"/>
          </w:r>
          <w:r>
            <w:instrText xml:space="preserve"> HYPERLINK \l "_Toc87528822" </w:instrText>
          </w:r>
          <w:r>
            <w:fldChar w:fldCharType="separate"/>
          </w:r>
          <w:r>
            <w:rPr>
              <w:rStyle w:val="8"/>
              <w:rFonts w:hint="eastAsia"/>
            </w:rPr>
            <w:t>第一章</w:t>
          </w:r>
          <w:r>
            <w:rPr>
              <w:rStyle w:val="8"/>
            </w:rPr>
            <w:t xml:space="preserve"> </w:t>
          </w:r>
          <w:r>
            <w:rPr>
              <w:rStyle w:val="8"/>
              <w:rFonts w:hint="eastAsia"/>
            </w:rPr>
            <w:t>招标邀请（招标公告）</w:t>
          </w:r>
          <w:r>
            <w:tab/>
          </w:r>
          <w:r>
            <w:fldChar w:fldCharType="begin"/>
          </w:r>
          <w:r>
            <w:instrText xml:space="preserve"> PAGEREF _Toc87528822 \h </w:instrText>
          </w:r>
          <w:r>
            <w:fldChar w:fldCharType="separate"/>
          </w:r>
          <w:r>
            <w:t>4</w:t>
          </w:r>
          <w:r>
            <w:fldChar w:fldCharType="end"/>
          </w:r>
          <w:r>
            <w:fldChar w:fldCharType="end"/>
          </w:r>
        </w:p>
        <w:p>
          <w:pPr>
            <w:pStyle w:val="4"/>
            <w:tabs>
              <w:tab w:val="right" w:leader="dot" w:pos="9768"/>
            </w:tabs>
            <w:rPr>
              <w:rFonts w:asciiTheme="minorHAnsi" w:hAnsiTheme="minorHAnsi" w:eastAsiaTheme="minorEastAsia" w:cstheme="minorBidi"/>
              <w:color w:val="auto"/>
              <w:sz w:val="21"/>
            </w:rPr>
          </w:pPr>
          <w:r>
            <w:fldChar w:fldCharType="begin"/>
          </w:r>
          <w:r>
            <w:instrText xml:space="preserve"> HYPERLINK \l "_Toc87528823" </w:instrText>
          </w:r>
          <w:r>
            <w:fldChar w:fldCharType="separate"/>
          </w:r>
          <w:r>
            <w:rPr>
              <w:rStyle w:val="8"/>
              <w:rFonts w:hint="eastAsia"/>
            </w:rPr>
            <w:t>第二章</w:t>
          </w:r>
          <w:r>
            <w:rPr>
              <w:rStyle w:val="8"/>
            </w:rPr>
            <w:t xml:space="preserve"> </w:t>
          </w:r>
          <w:r>
            <w:rPr>
              <w:rStyle w:val="8"/>
              <w:rFonts w:hint="eastAsia"/>
            </w:rPr>
            <w:t>投标人须知前附表</w:t>
          </w:r>
          <w:r>
            <w:tab/>
          </w:r>
          <w:r>
            <w:fldChar w:fldCharType="begin"/>
          </w:r>
          <w:r>
            <w:instrText xml:space="preserve"> PAGEREF _Toc87528823 \h </w:instrText>
          </w:r>
          <w:r>
            <w:fldChar w:fldCharType="separate"/>
          </w:r>
          <w:r>
            <w:t>6</w:t>
          </w:r>
          <w:r>
            <w:fldChar w:fldCharType="end"/>
          </w:r>
          <w:r>
            <w:fldChar w:fldCharType="end"/>
          </w:r>
        </w:p>
        <w:p>
          <w:pPr>
            <w:pStyle w:val="4"/>
            <w:tabs>
              <w:tab w:val="right" w:leader="dot" w:pos="9768"/>
            </w:tabs>
            <w:rPr>
              <w:rFonts w:asciiTheme="minorHAnsi" w:hAnsiTheme="minorHAnsi" w:eastAsiaTheme="minorEastAsia" w:cstheme="minorBidi"/>
              <w:color w:val="auto"/>
              <w:sz w:val="21"/>
            </w:rPr>
          </w:pPr>
          <w:r>
            <w:fldChar w:fldCharType="begin"/>
          </w:r>
          <w:r>
            <w:instrText xml:space="preserve"> HYPERLINK \l "_Toc87528824" </w:instrText>
          </w:r>
          <w:r>
            <w:fldChar w:fldCharType="separate"/>
          </w:r>
          <w:r>
            <w:rPr>
              <w:rStyle w:val="8"/>
              <w:rFonts w:hint="eastAsia"/>
            </w:rPr>
            <w:t>第三章</w:t>
          </w:r>
          <w:r>
            <w:rPr>
              <w:rStyle w:val="8"/>
            </w:rPr>
            <w:t xml:space="preserve"> </w:t>
          </w:r>
          <w:r>
            <w:rPr>
              <w:rStyle w:val="8"/>
              <w:rFonts w:hint="eastAsia"/>
            </w:rPr>
            <w:t>投标人须知</w:t>
          </w:r>
          <w:r>
            <w:tab/>
          </w:r>
          <w:r>
            <w:fldChar w:fldCharType="begin"/>
          </w:r>
          <w:r>
            <w:instrText xml:space="preserve"> PAGEREF _Toc87528824 \h </w:instrText>
          </w:r>
          <w:r>
            <w:fldChar w:fldCharType="separate"/>
          </w:r>
          <w:r>
            <w:t>11</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"_Toc87528825" </w:instrText>
          </w:r>
          <w:r>
            <w:fldChar w:fldCharType="separate"/>
          </w:r>
          <w:r>
            <w:rPr>
              <w:rStyle w:val="8"/>
              <w:rFonts w:hint="eastAsia"/>
            </w:rPr>
            <w:t>一．总</w:t>
          </w:r>
          <w:r>
            <w:rPr>
              <w:rStyle w:val="8"/>
            </w:rPr>
            <w:t xml:space="preserve">    </w:t>
          </w:r>
          <w:r>
            <w:rPr>
              <w:rStyle w:val="8"/>
              <w:rFonts w:hint="eastAsia"/>
            </w:rPr>
            <w:t>则</w:t>
          </w:r>
          <w:r>
            <w:tab/>
          </w:r>
          <w:r>
            <w:fldChar w:fldCharType="begin"/>
          </w:r>
          <w:r>
            <w:instrText xml:space="preserve"> PAGEREF _Toc87528825 \h </w:instrText>
          </w:r>
          <w:r>
            <w:fldChar w:fldCharType="separate"/>
          </w:r>
          <w:r>
            <w:t>11</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"_Toc87528826" </w:instrText>
          </w:r>
          <w:r>
            <w:fldChar w:fldCharType="separate"/>
          </w:r>
          <w:r>
            <w:rPr>
              <w:rStyle w:val="8"/>
              <w:rFonts w:hint="eastAsia"/>
            </w:rPr>
            <w:t>二．</w:t>
          </w:r>
          <w:r>
            <w:rPr>
              <w:rStyle w:val="8"/>
              <w:rFonts w:hint="eastAsia" w:ascii="微软雅黑" w:hAnsi="微软雅黑" w:eastAsia="微软雅黑" w:cs="微软雅黑"/>
            </w:rPr>
            <w:t>招标</w:t>
          </w:r>
          <w:r>
            <w:rPr>
              <w:rStyle w:val="8"/>
              <w:rFonts w:hint="eastAsia"/>
            </w:rPr>
            <w:t>文件</w:t>
          </w:r>
          <w:r>
            <w:tab/>
          </w:r>
          <w:r>
            <w:fldChar w:fldCharType="begin"/>
          </w:r>
          <w:r>
            <w:instrText xml:space="preserve"> PAGEREF _Toc87528826 \h </w:instrText>
          </w:r>
          <w:r>
            <w:fldChar w:fldCharType="separate"/>
          </w:r>
          <w:r>
            <w:t>14</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"_Toc87528827" </w:instrText>
          </w:r>
          <w:r>
            <w:fldChar w:fldCharType="separate"/>
          </w:r>
          <w:r>
            <w:rPr>
              <w:rStyle w:val="8"/>
              <w:rFonts w:hint="eastAsia"/>
            </w:rPr>
            <w:t>三．响应文件的编制</w:t>
          </w:r>
          <w:r>
            <w:tab/>
          </w:r>
          <w:r>
            <w:fldChar w:fldCharType="begin"/>
          </w:r>
          <w:r>
            <w:instrText xml:space="preserve"> PAGEREF _Toc87528827 \h </w:instrText>
          </w:r>
          <w:r>
            <w:fldChar w:fldCharType="separate"/>
          </w:r>
          <w:r>
            <w:t>15</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"_Toc87528828" </w:instrText>
          </w:r>
          <w:r>
            <w:fldChar w:fldCharType="separate"/>
          </w:r>
          <w:r>
            <w:rPr>
              <w:rStyle w:val="8"/>
              <w:rFonts w:hint="eastAsia"/>
            </w:rPr>
            <w:t>四．响应文件的递交</w:t>
          </w:r>
          <w:r>
            <w:tab/>
          </w:r>
          <w:r>
            <w:fldChar w:fldCharType="begin"/>
          </w:r>
          <w:r>
            <w:instrText xml:space="preserve"> PAGEREF _Toc87528828 \h </w:instrText>
          </w:r>
          <w:r>
            <w:fldChar w:fldCharType="separate"/>
          </w:r>
          <w:r>
            <w:t>17</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"_Toc87528829" </w:instrText>
          </w:r>
          <w:r>
            <w:fldChar w:fldCharType="separate"/>
          </w:r>
          <w:r>
            <w:rPr>
              <w:rStyle w:val="8"/>
              <w:rFonts w:hint="eastAsia"/>
            </w:rPr>
            <w:t>五．响应文件解密及</w:t>
          </w:r>
          <w:r>
            <w:rPr>
              <w:rStyle w:val="8"/>
              <w:rFonts w:hint="eastAsia" w:ascii="微软雅黑" w:hAnsi="微软雅黑" w:eastAsia="微软雅黑" w:cs="微软雅黑"/>
            </w:rPr>
            <w:t>招标</w:t>
          </w:r>
          <w:r>
            <w:tab/>
          </w:r>
          <w:r>
            <w:fldChar w:fldCharType="begin"/>
          </w:r>
          <w:r>
            <w:instrText xml:space="preserve"> PAGEREF _Toc87528829 \h </w:instrText>
          </w:r>
          <w:r>
            <w:fldChar w:fldCharType="separate"/>
          </w:r>
          <w:r>
            <w:t>18</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"_Toc87528830" </w:instrText>
          </w:r>
          <w:r>
            <w:fldChar w:fldCharType="separate"/>
          </w:r>
          <w:r>
            <w:rPr>
              <w:rStyle w:val="8"/>
              <w:rFonts w:hint="eastAsia"/>
            </w:rPr>
            <w:t>六．定标与签订合同</w:t>
          </w:r>
          <w:r>
            <w:tab/>
          </w:r>
          <w:r>
            <w:fldChar w:fldCharType="begin"/>
          </w:r>
          <w:r>
            <w:instrText xml:space="preserve"> PAGEREF _Toc87528830 \h </w:instrText>
          </w:r>
          <w:r>
            <w:fldChar w:fldCharType="separate"/>
          </w:r>
          <w:r>
            <w:t>20</w:t>
          </w:r>
          <w:r>
            <w:fldChar w:fldCharType="end"/>
          </w:r>
          <w:r>
            <w:fldChar w:fldCharType="end"/>
          </w:r>
        </w:p>
        <w:p>
          <w:pPr>
            <w:pStyle w:val="4"/>
            <w:tabs>
              <w:tab w:val="right" w:leader="dot" w:pos="9768"/>
            </w:tabs>
            <w:rPr>
              <w:rFonts w:asciiTheme="minorHAnsi" w:hAnsiTheme="minorHAnsi" w:eastAsiaTheme="minorEastAsia" w:cstheme="minorBidi"/>
              <w:color w:val="auto"/>
              <w:sz w:val="21"/>
            </w:rPr>
          </w:pPr>
          <w:r>
            <w:fldChar w:fldCharType="begin"/>
          </w:r>
          <w:r>
            <w:instrText xml:space="preserve"> HYPERLINK \l "_Toc87528831" </w:instrText>
          </w:r>
          <w:r>
            <w:fldChar w:fldCharType="separate"/>
          </w:r>
          <w:r>
            <w:rPr>
              <w:rStyle w:val="8"/>
              <w:rFonts w:hint="eastAsia"/>
            </w:rPr>
            <w:t>第四章</w:t>
          </w:r>
          <w:r>
            <w:rPr>
              <w:rStyle w:val="8"/>
            </w:rPr>
            <w:t xml:space="preserve"> </w:t>
          </w:r>
          <w:r>
            <w:rPr>
              <w:rStyle w:val="8"/>
              <w:rFonts w:hint="eastAsia" w:asciiTheme="majorEastAsia" w:hAnsiTheme="majorEastAsia" w:eastAsiaTheme="majorEastAsia" w:cstheme="minorHAnsi"/>
            </w:rPr>
            <w:t>招标</w:t>
          </w:r>
          <w:r>
            <w:rPr>
              <w:rStyle w:val="8"/>
              <w:rFonts w:hint="eastAsia" w:cs="宋体" w:asciiTheme="majorEastAsia" w:hAnsiTheme="majorEastAsia" w:eastAsiaTheme="majorEastAsia"/>
            </w:rPr>
            <w:t>需求</w:t>
          </w:r>
          <w:r>
            <w:tab/>
          </w:r>
          <w:r>
            <w:fldChar w:fldCharType="begin"/>
          </w:r>
          <w:r>
            <w:instrText xml:space="preserve"> PAGEREF _Toc87528831 \h </w:instrText>
          </w:r>
          <w:r>
            <w:fldChar w:fldCharType="separate"/>
          </w:r>
          <w:r>
            <w:t>24</w:t>
          </w:r>
          <w:r>
            <w:fldChar w:fldCharType="end"/>
          </w:r>
          <w:r>
            <w:fldChar w:fldCharType="end"/>
          </w:r>
        </w:p>
        <w:p>
          <w:pPr>
            <w:pStyle w:val="4"/>
            <w:tabs>
              <w:tab w:val="right" w:leader="dot" w:pos="9768"/>
            </w:tabs>
            <w:rPr>
              <w:rFonts w:asciiTheme="minorHAnsi" w:hAnsiTheme="minorHAnsi" w:eastAsiaTheme="minorEastAsia" w:cstheme="minorBidi"/>
              <w:color w:val="auto"/>
              <w:sz w:val="21"/>
            </w:rPr>
          </w:pPr>
          <w:r>
            <w:fldChar w:fldCharType="begin"/>
          </w:r>
          <w:r>
            <w:instrText xml:space="preserve"> HYPERLINK \l "_Toc87528832" </w:instrText>
          </w:r>
          <w:r>
            <w:fldChar w:fldCharType="separate"/>
          </w:r>
          <w:r>
            <w:rPr>
              <w:rStyle w:val="8"/>
              <w:rFonts w:hint="eastAsia"/>
            </w:rPr>
            <w:t>第五章</w:t>
          </w:r>
          <w:r>
            <w:rPr>
              <w:rStyle w:val="8"/>
            </w:rPr>
            <w:t xml:space="preserve"> </w:t>
          </w:r>
          <w:r>
            <w:rPr>
              <w:rStyle w:val="8"/>
              <w:rFonts w:hint="eastAsia" w:cs="微软雅黑" w:asciiTheme="minorEastAsia" w:hAnsiTheme="minorEastAsia"/>
            </w:rPr>
            <w:t>招标</w:t>
          </w:r>
          <w:r>
            <w:rPr>
              <w:rStyle w:val="8"/>
              <w:rFonts w:hint="eastAsia" w:asciiTheme="minorEastAsia" w:hAnsiTheme="minorEastAsia"/>
            </w:rPr>
            <w:t>与评审办法</w:t>
          </w:r>
          <w:r>
            <w:tab/>
          </w:r>
          <w:r>
            <w:fldChar w:fldCharType="begin"/>
          </w:r>
          <w:r>
            <w:instrText xml:space="preserve"> PAGEREF _Toc87528832 \h </w:instrText>
          </w:r>
          <w:r>
            <w:fldChar w:fldCharType="separate"/>
          </w:r>
          <w:r>
            <w:t>34</w:t>
          </w:r>
          <w:r>
            <w:fldChar w:fldCharType="end"/>
          </w:r>
          <w:r>
            <w:fldChar w:fldCharType="end"/>
          </w:r>
        </w:p>
        <w:p>
          <w:pPr>
            <w:pStyle w:val="4"/>
            <w:tabs>
              <w:tab w:val="right" w:leader="dot" w:pos="9768"/>
            </w:tabs>
            <w:rPr>
              <w:rFonts w:asciiTheme="minorHAnsi" w:hAnsiTheme="minorHAnsi" w:eastAsiaTheme="minorEastAsia" w:cstheme="minorBidi"/>
              <w:color w:val="auto"/>
              <w:sz w:val="21"/>
            </w:rPr>
          </w:pPr>
          <w:r>
            <w:fldChar w:fldCharType="begin"/>
          </w:r>
          <w:r>
            <w:instrText xml:space="preserve"> HYPERLINK \l "_Toc87528833" </w:instrText>
          </w:r>
          <w:r>
            <w:fldChar w:fldCharType="separate"/>
          </w:r>
          <w:r>
            <w:rPr>
              <w:rStyle w:val="8"/>
              <w:rFonts w:hint="eastAsia"/>
            </w:rPr>
            <w:t>第七章</w:t>
          </w:r>
          <w:r>
            <w:rPr>
              <w:rStyle w:val="8"/>
            </w:rPr>
            <w:t xml:space="preserve"> </w:t>
          </w:r>
          <w:r>
            <w:rPr>
              <w:rStyle w:val="8"/>
              <w:rFonts w:hint="eastAsia"/>
            </w:rPr>
            <w:t>响应文件格式</w:t>
          </w:r>
          <w:r>
            <w:tab/>
          </w:r>
          <w:r>
            <w:fldChar w:fldCharType="begin"/>
          </w:r>
          <w:r>
            <w:instrText xml:space="preserve"> PAGEREF _Toc87528833 \h </w:instrText>
          </w:r>
          <w:r>
            <w:fldChar w:fldCharType="separate"/>
          </w:r>
          <w:r>
            <w:t>51</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"_Toc87528834" </w:instrText>
          </w:r>
          <w:r>
            <w:fldChar w:fldCharType="separate"/>
          </w:r>
          <w:r>
            <w:rPr>
              <w:rStyle w:val="8"/>
              <w:rFonts w:hint="eastAsia"/>
            </w:rPr>
            <w:t>一．报价表</w:t>
          </w:r>
          <w:r>
            <w:tab/>
          </w:r>
          <w:r>
            <w:fldChar w:fldCharType="begin"/>
          </w:r>
          <w:r>
            <w:instrText xml:space="preserve"> PAGEREF _Toc87528834 \h </w:instrText>
          </w:r>
          <w:r>
            <w:fldChar w:fldCharType="separate"/>
          </w:r>
          <w:r>
            <w:t>52</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"_Toc87528835" </w:instrText>
          </w:r>
          <w:r>
            <w:fldChar w:fldCharType="separate"/>
          </w:r>
          <w:r>
            <w:rPr>
              <w:rStyle w:val="8"/>
              <w:rFonts w:hint="eastAsia"/>
            </w:rPr>
            <w:t>三．投标人情况综合简介</w:t>
          </w:r>
          <w:r>
            <w:tab/>
          </w:r>
          <w:r>
            <w:fldChar w:fldCharType="begin"/>
          </w:r>
          <w:r>
            <w:instrText xml:space="preserve"> PAGEREF _Toc87528835 \h </w:instrText>
          </w:r>
          <w:r>
            <w:fldChar w:fldCharType="separate"/>
          </w:r>
          <w:r>
            <w:t>54</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"_Toc87528836" </w:instrText>
          </w:r>
          <w:r>
            <w:fldChar w:fldCharType="separate"/>
          </w:r>
          <w:r>
            <w:rPr>
              <w:rStyle w:val="8"/>
              <w:rFonts w:hint="eastAsia"/>
            </w:rPr>
            <w:t>四．投标函</w:t>
          </w:r>
          <w:r>
            <w:tab/>
          </w:r>
          <w:r>
            <w:fldChar w:fldCharType="begin"/>
          </w:r>
          <w:r>
            <w:instrText xml:space="preserve"> PAGEREF _Toc87528836 \h </w:instrText>
          </w:r>
          <w:r>
            <w:fldChar w:fldCharType="separate"/>
          </w:r>
          <w:r>
            <w:t>55</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"_Toc87528837" </w:instrText>
          </w:r>
          <w:r>
            <w:fldChar w:fldCharType="separate"/>
          </w:r>
          <w:r>
            <w:rPr>
              <w:rStyle w:val="8"/>
              <w:rFonts w:hint="eastAsia"/>
            </w:rPr>
            <w:t>五．投标人信用承诺</w:t>
          </w:r>
          <w:r>
            <w:tab/>
          </w:r>
          <w:r>
            <w:fldChar w:fldCharType="begin"/>
          </w:r>
          <w:r>
            <w:instrText xml:space="preserve"> PAGEREF _Toc87528837 \h </w:instrText>
          </w:r>
          <w:r>
            <w:fldChar w:fldCharType="separate"/>
          </w:r>
          <w:r>
            <w:t>57</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"_Toc87528838" </w:instrText>
          </w:r>
          <w:r>
            <w:fldChar w:fldCharType="separate"/>
          </w:r>
          <w:r>
            <w:rPr>
              <w:rStyle w:val="8"/>
              <w:rFonts w:hint="eastAsia"/>
            </w:rPr>
            <w:t>六</w:t>
          </w:r>
          <w:r>
            <w:rPr>
              <w:rStyle w:val="8"/>
            </w:rPr>
            <w:t xml:space="preserve">. </w:t>
          </w:r>
          <w:r>
            <w:rPr>
              <w:rStyle w:val="8"/>
              <w:rFonts w:hint="eastAsia"/>
            </w:rPr>
            <w:t>投标业绩</w:t>
          </w:r>
          <w:r>
            <w:tab/>
          </w:r>
          <w:r>
            <w:fldChar w:fldCharType="begin"/>
          </w:r>
          <w:r>
            <w:instrText xml:space="preserve"> PAGEREF _Toc87528838 \h </w:instrText>
          </w:r>
          <w:r>
            <w:fldChar w:fldCharType="separate"/>
          </w:r>
          <w:r>
            <w:t>58</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"_Toc87528839" </w:instrText>
          </w:r>
          <w:r>
            <w:fldChar w:fldCharType="separate"/>
          </w:r>
          <w:r>
            <w:rPr>
              <w:rStyle w:val="8"/>
              <w:rFonts w:hint="eastAsia"/>
            </w:rPr>
            <w:t>七．拟投入本项目的人员情况</w:t>
          </w:r>
          <w:r>
            <w:tab/>
          </w:r>
          <w:r>
            <w:fldChar w:fldCharType="begin"/>
          </w:r>
          <w:r>
            <w:instrText xml:space="preserve"> PAGEREF _Toc87528839 \h </w:instrText>
          </w:r>
          <w:r>
            <w:fldChar w:fldCharType="separate"/>
          </w:r>
          <w:r>
            <w:t>59</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"_Toc87528840" </w:instrText>
          </w:r>
          <w:r>
            <w:fldChar w:fldCharType="separate"/>
          </w:r>
          <w:r>
            <w:rPr>
              <w:rStyle w:val="8"/>
              <w:rFonts w:hint="eastAsia"/>
            </w:rPr>
            <w:t>八．服务方案</w:t>
          </w:r>
          <w:r>
            <w:tab/>
          </w:r>
          <w:r>
            <w:fldChar w:fldCharType="begin"/>
          </w:r>
          <w:r>
            <w:instrText xml:space="preserve"> PAGEREF _Toc87528840 \h </w:instrText>
          </w:r>
          <w:r>
            <w:fldChar w:fldCharType="separate"/>
          </w:r>
          <w:r>
            <w:t>61</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"_Toc87528841" </w:instrText>
          </w:r>
          <w:r>
            <w:fldChar w:fldCharType="separate"/>
          </w:r>
          <w:r>
            <w:rPr>
              <w:rStyle w:val="8"/>
              <w:rFonts w:hint="eastAsia"/>
            </w:rPr>
            <w:t>九．有关证明文件</w:t>
          </w:r>
          <w:r>
            <w:tab/>
          </w:r>
          <w:r>
            <w:fldChar w:fldCharType="begin"/>
          </w:r>
          <w:r>
            <w:instrText xml:space="preserve"> PAGEREF _Toc87528841 \h </w:instrText>
          </w:r>
          <w:r>
            <w:fldChar w:fldCharType="separate"/>
          </w:r>
          <w:r>
            <w:t>62</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"_Toc87528842" </w:instrText>
          </w:r>
          <w:r>
            <w:fldChar w:fldCharType="separate"/>
          </w:r>
          <w:r>
            <w:rPr>
              <w:rStyle w:val="8"/>
              <w:rFonts w:hint="eastAsia"/>
            </w:rPr>
            <w:t>十．投标授权书</w:t>
          </w:r>
          <w:r>
            <w:tab/>
          </w:r>
          <w:r>
            <w:fldChar w:fldCharType="begin"/>
          </w:r>
          <w:r>
            <w:instrText xml:space="preserve"> PAGEREF _Toc87528842 \h </w:instrText>
          </w:r>
          <w:r>
            <w:fldChar w:fldCharType="separate"/>
          </w:r>
          <w:r>
            <w:t>63</w:t>
          </w:r>
          <w:r>
            <w:fldChar w:fldCharType="end"/>
          </w:r>
          <w:r>
            <w:fldChar w:fldCharType="end"/>
          </w:r>
        </w:p>
        <w:p>
          <w:pPr>
            <w:pStyle w:val="5"/>
            <w:tabs>
              <w:tab w:val="right" w:leader="dot" w:pos="9768"/>
            </w:tabs>
            <w:rPr>
              <w:rFonts w:asciiTheme="minorHAnsi" w:hAnsiTheme="minorHAnsi" w:eastAsiaTheme="minorEastAsia" w:cstheme="minorBidi"/>
              <w:color w:val="auto"/>
              <w:sz w:val="21"/>
            </w:rPr>
          </w:pPr>
          <w:r>
            <w:fldChar w:fldCharType="begin"/>
          </w:r>
          <w:r>
            <w:instrText xml:space="preserve"> HYPERLINK \l "_Toc87528843" </w:instrText>
          </w:r>
          <w:r>
            <w:fldChar w:fldCharType="separate"/>
          </w:r>
          <w:r>
            <w:rPr>
              <w:rStyle w:val="8"/>
              <w:rFonts w:hint="eastAsia"/>
            </w:rPr>
            <w:t>十一</w:t>
          </w:r>
          <w:r>
            <w:rPr>
              <w:rStyle w:val="8"/>
            </w:rPr>
            <w:t>.</w:t>
          </w:r>
          <w:r>
            <w:rPr>
              <w:rStyle w:val="8"/>
              <w:rFonts w:hint="eastAsia"/>
            </w:rPr>
            <w:t>投标人认为需提供的其他资料</w:t>
          </w:r>
          <w:r>
            <w:tab/>
          </w:r>
          <w:r>
            <w:fldChar w:fldCharType="begin"/>
          </w:r>
          <w:r>
            <w:instrText xml:space="preserve"> PAGEREF _Toc87528843 \h </w:instrText>
          </w:r>
          <w:r>
            <w:fldChar w:fldCharType="separate"/>
          </w:r>
          <w:r>
            <w:t>64</w:t>
          </w:r>
          <w:r>
            <w:fldChar w:fldCharType="end"/>
          </w:r>
          <w:r>
            <w:fldChar w:fldCharType="end"/>
          </w:r>
        </w:p>
        <w:p>
          <w:pPr>
            <w:tabs>
              <w:tab w:val="right" w:leader="dot" w:pos="9778"/>
            </w:tabs>
          </w:pPr>
          <w:r>
            <w:fldChar w:fldCharType="end"/>
          </w:r>
        </w:p>
      </w:sdtContent>
    </w:sdt>
    <w:p>
      <w:pPr>
        <w:spacing w:after="0" w:line="240" w:lineRule="auto"/>
        <w:ind w:left="404" w:right="0" w:firstLine="0"/>
      </w:pPr>
      <w:r>
        <w:t xml:space="preserve"> </w:t>
      </w:r>
    </w:p>
    <w:p>
      <w:pPr>
        <w:spacing w:after="0" w:line="240" w:lineRule="auto"/>
        <w:ind w:left="404" w:right="0" w:firstLine="0"/>
      </w:pPr>
    </w:p>
    <w:p>
      <w:pPr>
        <w:spacing w:after="0" w:line="240" w:lineRule="auto"/>
        <w:ind w:left="404" w:right="0" w:firstLine="0"/>
      </w:pPr>
    </w:p>
    <w:p>
      <w:pPr>
        <w:spacing w:after="0" w:line="240" w:lineRule="auto"/>
        <w:ind w:left="404" w:right="0" w:firstLine="0"/>
      </w:pPr>
    </w:p>
    <w:p>
      <w:pPr>
        <w:spacing w:after="0" w:line="240" w:lineRule="auto"/>
        <w:ind w:left="404" w:right="0" w:firstLine="0"/>
      </w:pPr>
    </w:p>
    <w:p>
      <w:pPr>
        <w:spacing w:after="0" w:line="240" w:lineRule="auto"/>
        <w:ind w:left="404" w:right="0" w:firstLine="0"/>
      </w:pPr>
    </w:p>
    <w:p>
      <w:pPr>
        <w:spacing w:after="0" w:line="240" w:lineRule="auto"/>
        <w:ind w:left="404" w:right="0" w:firstLine="0"/>
      </w:pPr>
    </w:p>
    <w:p>
      <w:pPr>
        <w:spacing w:after="0" w:line="240" w:lineRule="auto"/>
        <w:ind w:left="404" w:right="0" w:firstLine="0"/>
      </w:pPr>
    </w:p>
    <w:p>
      <w:pPr>
        <w:spacing w:after="0" w:line="240" w:lineRule="auto"/>
        <w:ind w:left="404" w:right="0" w:firstLine="0"/>
      </w:pPr>
    </w:p>
    <w:p>
      <w:pPr>
        <w:spacing w:after="0" w:line="240" w:lineRule="auto"/>
        <w:ind w:left="404" w:right="0" w:firstLine="0"/>
      </w:pPr>
    </w:p>
    <w:p>
      <w:pPr>
        <w:spacing w:after="0" w:line="240" w:lineRule="auto"/>
        <w:ind w:left="404" w:right="0" w:firstLine="0"/>
      </w:pPr>
    </w:p>
    <w:p>
      <w:pPr>
        <w:spacing w:after="0" w:line="240" w:lineRule="auto"/>
        <w:ind w:left="404" w:right="0" w:firstLine="0"/>
      </w:pPr>
    </w:p>
    <w:p>
      <w:pPr>
        <w:spacing w:after="0" w:line="240" w:lineRule="auto"/>
        <w:ind w:left="404" w:right="0" w:firstLine="0"/>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0" w:line="240" w:lineRule="auto"/>
        <w:ind w:left="404" w:right="0" w:firstLine="0"/>
        <w:rPr>
          <w:rFonts w:eastAsiaTheme="minorEastAsia"/>
        </w:rPr>
      </w:pPr>
    </w:p>
    <w:p>
      <w:pPr>
        <w:spacing w:after="165" w:line="240" w:lineRule="auto"/>
        <w:ind w:left="404" w:right="0" w:firstLine="0"/>
      </w:pPr>
      <w:r>
        <w:t xml:space="preserve"> </w:t>
      </w:r>
    </w:p>
    <w:p>
      <w:pPr>
        <w:pStyle w:val="2"/>
        <w:spacing w:after="359" w:line="246" w:lineRule="auto"/>
      </w:pPr>
      <w:bookmarkStart w:id="0" w:name="_Toc87528822"/>
      <w:r>
        <w:rPr>
          <w:sz w:val="27"/>
        </w:rPr>
        <w:t>第一章 招标邀请（招标公告）</w:t>
      </w:r>
      <w:bookmarkEnd w:id="0"/>
      <w:r>
        <w:rPr>
          <w:sz w:val="27"/>
        </w:rPr>
        <w:t xml:space="preserve"> </w:t>
      </w:r>
    </w:p>
    <w:p>
      <w:pPr>
        <w:spacing w:line="395" w:lineRule="auto"/>
        <w:ind w:left="172" w:firstLine="720" w:firstLineChars="300"/>
      </w:pPr>
      <w:r>
        <w:t>长丰供水集团有限公司，现对“长丰供水集团</w:t>
      </w:r>
      <w:r>
        <w:rPr>
          <w:rFonts w:hint="eastAsia" w:eastAsiaTheme="minorEastAsia"/>
        </w:rPr>
        <w:t>W</w:t>
      </w:r>
      <w:r>
        <w:rPr>
          <w:rFonts w:eastAsiaTheme="minorEastAsia"/>
        </w:rPr>
        <w:t>MS</w:t>
      </w:r>
      <w:r>
        <w:t xml:space="preserve">智能仓储管理系统建设”进行招标，欢迎具备条件的投标人参加。 </w:t>
      </w:r>
    </w:p>
    <w:p>
      <w:pPr>
        <w:ind w:left="399"/>
      </w:pPr>
      <w:r>
        <w:t xml:space="preserve">一、项目名称及内容 </w:t>
      </w:r>
    </w:p>
    <w:p>
      <w:pPr>
        <w:ind w:left="399"/>
      </w:pPr>
      <w:r>
        <w:t xml:space="preserve">1.项目编号： </w:t>
      </w:r>
    </w:p>
    <w:p>
      <w:pPr>
        <w:ind w:left="399"/>
      </w:pPr>
      <w:r>
        <w:t>2.项目名称：长丰供水集团</w:t>
      </w:r>
      <w:r>
        <w:rPr>
          <w:rFonts w:hint="eastAsia" w:eastAsiaTheme="minorEastAsia"/>
        </w:rPr>
        <w:t>W</w:t>
      </w:r>
      <w:r>
        <w:rPr>
          <w:rFonts w:eastAsiaTheme="minorEastAsia"/>
        </w:rPr>
        <w:t>MS</w:t>
      </w:r>
      <w:r>
        <w:t xml:space="preserve">智能仓储管理系统建设 </w:t>
      </w:r>
    </w:p>
    <w:p>
      <w:pPr>
        <w:ind w:left="399"/>
      </w:pPr>
      <w:r>
        <w:t xml:space="preserve">3.项目地点：长丰县 </w:t>
      </w:r>
    </w:p>
    <w:p>
      <w:pPr>
        <w:ind w:left="399"/>
      </w:pPr>
      <w:r>
        <w:t xml:space="preserve">4.项目单位：长丰供水集团有限公司 </w:t>
      </w:r>
    </w:p>
    <w:p>
      <w:pPr>
        <w:spacing w:line="383" w:lineRule="auto"/>
        <w:ind w:left="172" w:firstLine="202"/>
      </w:pPr>
      <w:r>
        <w:t>5.项目概况：为满足业务发展的需要，招标人拟对长丰供水集团</w:t>
      </w:r>
      <w:r>
        <w:rPr>
          <w:rFonts w:hint="eastAsia" w:eastAsiaTheme="minorEastAsia"/>
        </w:rPr>
        <w:t>W</w:t>
      </w:r>
      <w:r>
        <w:rPr>
          <w:rFonts w:eastAsiaTheme="minorEastAsia"/>
        </w:rPr>
        <w:t>MS</w:t>
      </w:r>
      <w:r>
        <w:t xml:space="preserve">智能仓储管理系统建设项目进行招标，选择一家单位完成软件供货及开发工作。 </w:t>
      </w:r>
    </w:p>
    <w:p>
      <w:pPr>
        <w:ind w:left="399"/>
      </w:pPr>
      <w:r>
        <w:t xml:space="preserve">6.资金来源：自筹 </w:t>
      </w:r>
    </w:p>
    <w:p>
      <w:pPr>
        <w:ind w:left="399"/>
      </w:pPr>
      <w:r>
        <w:t xml:space="preserve">7.项目概算：28万元 </w:t>
      </w:r>
    </w:p>
    <w:p>
      <w:pPr>
        <w:ind w:left="399"/>
      </w:pPr>
      <w:r>
        <w:t xml:space="preserve">8.项目类别：服务 </w:t>
      </w:r>
    </w:p>
    <w:p>
      <w:pPr>
        <w:spacing w:line="395" w:lineRule="auto"/>
        <w:ind w:left="399" w:right="2923"/>
      </w:pPr>
      <w:r>
        <w:t xml:space="preserve">9.标段（包别）划分：本项目共一个标段。 </w:t>
      </w:r>
    </w:p>
    <w:p>
      <w:pPr>
        <w:spacing w:line="395" w:lineRule="auto"/>
        <w:ind w:left="399" w:right="2923"/>
      </w:pPr>
      <w:r>
        <w:t xml:space="preserve">二、投标人资格 </w:t>
      </w:r>
    </w:p>
    <w:p>
      <w:pPr>
        <w:ind w:left="399"/>
      </w:pPr>
      <w:r>
        <w:t xml:space="preserve">1.具有独立承担民事责任的能力； </w:t>
      </w:r>
    </w:p>
    <w:p>
      <w:pPr>
        <w:ind w:left="399"/>
      </w:pPr>
      <w:r>
        <w:t xml:space="preserve">2.本项目不接受联合体招标； </w:t>
      </w:r>
    </w:p>
    <w:p>
      <w:pPr>
        <w:ind w:left="399"/>
      </w:pPr>
      <w:r>
        <w:t xml:space="preserve">3.符合下列情形之一： </w:t>
      </w:r>
    </w:p>
    <w:p>
      <w:pPr>
        <w:spacing w:line="383" w:lineRule="auto"/>
        <w:ind w:left="172" w:firstLine="202"/>
      </w:pPr>
      <w:r>
        <w:t xml:space="preserve">1)开标日前两年内未被合肥市及其所辖县（市）公共资源交易监督部门记不良行为记录或记不良行为记录累计未满10分的。  </w:t>
      </w:r>
    </w:p>
    <w:p>
      <w:pPr>
        <w:spacing w:line="383" w:lineRule="auto"/>
        <w:ind w:left="172" w:firstLine="202"/>
      </w:pPr>
      <w:r>
        <w:t xml:space="preserve">2)最近一次被合肥市及其所辖县（市）公共资源交易监督部门记不良行为记录累计记分达10分(含10分)到15分且公布日距开标日超过6个月。  </w:t>
      </w:r>
    </w:p>
    <w:p>
      <w:pPr>
        <w:spacing w:line="383" w:lineRule="auto"/>
        <w:ind w:left="172" w:firstLine="202"/>
      </w:pPr>
      <w:r>
        <w:t xml:space="preserve">3)最近一次被合肥市及其所辖县（市）公共资源交易监督部门记不良行为记录累计记分达15分(含15分)到20分且公布日距开标日超过12个月。  </w:t>
      </w:r>
    </w:p>
    <w:p>
      <w:pPr>
        <w:spacing w:line="383" w:lineRule="auto"/>
        <w:ind w:left="172" w:firstLine="202"/>
      </w:pPr>
      <w:r>
        <w:t xml:space="preserve">4)最近一次被合肥市及其所辖县（市）公共资源交易监督部门记不良行为记录累计记分达20分(含20分)及以上且公布日距开标日超过24个月。 </w:t>
      </w:r>
    </w:p>
    <w:p>
      <w:pPr>
        <w:spacing w:after="0" w:line="383" w:lineRule="auto"/>
        <w:ind w:left="172" w:firstLine="202"/>
      </w:pPr>
      <w:r>
        <w:t xml:space="preserve">4.投标人存在以下不良信用记录情形之一的，不得推荐为中标候选人，不得确定为中标人： </w:t>
      </w:r>
    </w:p>
    <w:p>
      <w:pPr>
        <w:spacing w:line="240" w:lineRule="auto"/>
        <w:ind w:left="399"/>
      </w:pPr>
      <w:r>
        <w:t xml:space="preserve">1）投标人被人民法院列入失信被执行人的； </w:t>
      </w:r>
    </w:p>
    <w:p>
      <w:pPr>
        <w:spacing w:line="240" w:lineRule="auto"/>
        <w:ind w:left="399"/>
      </w:pPr>
      <w:r>
        <w:t xml:space="preserve">2）投标人或其法定代表人被人民检察院列入行贿犯罪档案的；  </w:t>
      </w:r>
    </w:p>
    <w:p>
      <w:pPr>
        <w:spacing w:line="240" w:lineRule="auto"/>
        <w:ind w:left="399" w:right="645"/>
      </w:pPr>
      <w:r>
        <w:t xml:space="preserve">3）投标人被工商行政管理部门列入企业经营异常名录的； </w:t>
      </w:r>
    </w:p>
    <w:p>
      <w:pPr>
        <w:spacing w:line="240" w:lineRule="auto"/>
        <w:ind w:left="399" w:right="645"/>
        <w:rPr>
          <w:rFonts w:eastAsiaTheme="minorEastAsia"/>
        </w:rPr>
      </w:pPr>
      <w:r>
        <w:t>4）投标人被税务部门列入重大税收违法案件当事人名单的；</w:t>
      </w:r>
    </w:p>
    <w:p>
      <w:pPr>
        <w:spacing w:line="389" w:lineRule="auto"/>
        <w:ind w:left="399" w:right="645"/>
      </w:pPr>
      <w:r>
        <w:t xml:space="preserve"> 三、招标文件的获取 </w:t>
      </w:r>
    </w:p>
    <w:p>
      <w:r>
        <w:t xml:space="preserve">1.获取时间： </w:t>
      </w:r>
    </w:p>
    <w:p>
      <w:r>
        <w:t xml:space="preserve">2.招标文件价格： </w:t>
      </w:r>
    </w:p>
    <w:p>
      <w:r>
        <w:t xml:space="preserve">3.获取方式： </w:t>
      </w:r>
    </w:p>
    <w:p>
      <w:pPr>
        <w:spacing w:line="383" w:lineRule="auto"/>
      </w:pPr>
      <w:r>
        <w:t>（1）潜在投标人须登录</w:t>
      </w:r>
      <w:r>
        <w:rPr>
          <w:rFonts w:hint="eastAsia" w:eastAsiaTheme="minorEastAsia"/>
          <w:u w:val="single"/>
        </w:rPr>
        <w:t xml:space="preserve"> </w:t>
      </w:r>
      <w:r>
        <w:rPr>
          <w:rFonts w:eastAsiaTheme="minorEastAsia"/>
          <w:u w:val="single"/>
        </w:rPr>
        <w:t xml:space="preserve">   长丰供水集团有限公司官网     </w:t>
      </w:r>
      <w:r>
        <w:t>系统查阅、获取招标文件。</w:t>
      </w:r>
    </w:p>
    <w:p>
      <w:pPr>
        <w:spacing w:line="389" w:lineRule="auto"/>
        <w:rPr>
          <w:color w:val="000000" w:themeColor="text1"/>
          <w14:textFill>
            <w14:solidFill>
              <w14:schemeClr w14:val="tx1"/>
            </w14:solidFill>
          </w14:textFill>
        </w:rPr>
      </w:pPr>
      <w:r>
        <w:t>（2）</w:t>
      </w:r>
      <w:r>
        <w:rPr>
          <w:color w:val="000000" w:themeColor="text1"/>
          <w14:textFill>
            <w14:solidFill>
              <w14:schemeClr w14:val="tx1"/>
            </w14:solidFill>
          </w14:textFill>
        </w:rPr>
        <w:t>招标保证金费用（人民币</w:t>
      </w:r>
      <w:r>
        <w:rPr>
          <w:rFonts w:hint="eastAsia" w:eastAsiaTheme="minorEastAsia"/>
          <w:color w:val="000000" w:themeColor="text1"/>
          <w14:textFill>
            <w14:solidFill>
              <w14:schemeClr w14:val="tx1"/>
            </w14:solidFill>
          </w14:textFill>
        </w:rPr>
        <w:t>5</w:t>
      </w:r>
      <w:r>
        <w:rPr>
          <w:rFonts w:eastAsiaTheme="minorEastAsia"/>
          <w:color w:val="000000" w:themeColor="text1"/>
          <w14:textFill>
            <w14:solidFill>
              <w14:schemeClr w14:val="tx1"/>
            </w14:solidFill>
          </w14:textFill>
        </w:rPr>
        <w:t>600元</w:t>
      </w:r>
      <w:r>
        <w:rPr>
          <w:color w:val="000000" w:themeColor="text1"/>
          <w14:textFill>
            <w14:solidFill>
              <w14:schemeClr w14:val="tx1"/>
            </w14:solidFill>
          </w14:textFill>
        </w:rPr>
        <w:t xml:space="preserve">）采用网上支付。如无网上银行账号，请及时前往银行办理。 </w:t>
      </w:r>
    </w:p>
    <w:p>
      <w:pPr>
        <w:spacing w:line="389" w:lineRule="auto"/>
        <w:rPr>
          <w:rFonts w:eastAsiaTheme="minorEastAsia"/>
        </w:rPr>
      </w:pPr>
      <w:r>
        <w:rPr>
          <w:rFonts w:hint="eastAsia" w:eastAsiaTheme="minorEastAsia"/>
        </w:rPr>
        <w:t xml:space="preserve"> </w:t>
      </w:r>
      <w:r>
        <w:rPr>
          <w:rFonts w:eastAsiaTheme="minorEastAsia"/>
        </w:rPr>
        <w:t xml:space="preserve">           账号：</w:t>
      </w:r>
      <w:r>
        <w:rPr>
          <w:rFonts w:hint="eastAsia" w:eastAsiaTheme="minorEastAsia"/>
        </w:rPr>
        <w:t>1</w:t>
      </w:r>
      <w:r>
        <w:rPr>
          <w:rFonts w:eastAsiaTheme="minorEastAsia"/>
        </w:rPr>
        <w:t>302002109000047817</w:t>
      </w:r>
    </w:p>
    <w:p>
      <w:pPr>
        <w:spacing w:line="389" w:lineRule="auto"/>
        <w:rPr>
          <w:rFonts w:eastAsiaTheme="minorEastAsia"/>
          <w:color w:val="FF0000"/>
        </w:rPr>
      </w:pPr>
      <w:r>
        <w:rPr>
          <w:rFonts w:eastAsiaTheme="minorEastAsia"/>
        </w:rPr>
        <w:t xml:space="preserve">            开户行：中国工商银行长丰县支行</w:t>
      </w:r>
    </w:p>
    <w:p>
      <w:pPr>
        <w:spacing w:line="383" w:lineRule="auto"/>
      </w:pPr>
      <w:r>
        <w:t xml:space="preserve">（4）招标文件获取过程中有任何疑问，请在工作时间（9：00-17：30，节假日休息）拨打技术支持热线（非项目咨询）：                           。 </w:t>
      </w:r>
    </w:p>
    <w:p>
      <w:pPr>
        <w:ind w:left="399"/>
      </w:pPr>
      <w:r>
        <w:t xml:space="preserve">四、招标时间及地点 </w:t>
      </w:r>
    </w:p>
    <w:p>
      <w:pPr>
        <w:ind w:left="399"/>
      </w:pPr>
      <w:r>
        <w:t xml:space="preserve">1.招标时间：  </w:t>
      </w:r>
    </w:p>
    <w:p>
      <w:pPr>
        <w:ind w:left="399"/>
        <w:rPr>
          <w:rFonts w:eastAsiaTheme="minorEastAsia"/>
        </w:rPr>
      </w:pPr>
      <w:r>
        <w:t>2.招标地点：</w:t>
      </w:r>
      <w:r>
        <w:rPr>
          <w:rFonts w:hint="eastAsia" w:eastAsiaTheme="minorEastAsia"/>
        </w:rPr>
        <w:t xml:space="preserve"> 长丰县水湖镇供水集团2楼会议室</w:t>
      </w:r>
    </w:p>
    <w:p>
      <w:pPr>
        <w:ind w:left="399"/>
        <w:rPr>
          <w:rFonts w:eastAsiaTheme="minorEastAsia"/>
        </w:rPr>
      </w:pPr>
    </w:p>
    <w:p>
      <w:pPr>
        <w:ind w:left="399"/>
        <w:rPr>
          <w:rFonts w:eastAsiaTheme="minorEastAsia"/>
        </w:rPr>
      </w:pPr>
    </w:p>
    <w:p>
      <w:pPr>
        <w:ind w:left="399"/>
      </w:pPr>
      <w:r>
        <w:t>五、</w:t>
      </w:r>
      <w:r>
        <w:rPr>
          <w:color w:val="000000" w:themeColor="text1"/>
          <w14:textFill>
            <w14:solidFill>
              <w14:schemeClr w14:val="tx1"/>
            </w14:solidFill>
          </w14:textFill>
        </w:rPr>
        <w:t xml:space="preserve">响应文件提交截止时间 </w:t>
      </w:r>
    </w:p>
    <w:p>
      <w:pPr>
        <w:ind w:left="399"/>
        <w:rPr>
          <w:rFonts w:eastAsiaTheme="minorEastAsia"/>
        </w:rPr>
      </w:pPr>
      <w:r>
        <w:rPr>
          <w:rFonts w:hint="eastAsia" w:eastAsiaTheme="minorEastAsia"/>
        </w:rPr>
        <w:t xml:space="preserve"> 截止 </w:t>
      </w:r>
      <w:r>
        <w:rPr>
          <w:rFonts w:eastAsiaTheme="minorEastAsia"/>
        </w:rPr>
        <w:t xml:space="preserve">               年</w:t>
      </w:r>
      <w:r>
        <w:rPr>
          <w:rFonts w:hint="eastAsia" w:eastAsiaTheme="minorEastAsia"/>
        </w:rPr>
        <w:t xml:space="preserve"> </w:t>
      </w:r>
      <w:r>
        <w:rPr>
          <w:rFonts w:eastAsiaTheme="minorEastAsia"/>
        </w:rPr>
        <w:t xml:space="preserve">             月</w:t>
      </w:r>
      <w:r>
        <w:rPr>
          <w:rFonts w:hint="eastAsia" w:eastAsiaTheme="minorEastAsia"/>
        </w:rPr>
        <w:t xml:space="preserve"> </w:t>
      </w:r>
      <w:r>
        <w:rPr>
          <w:rFonts w:eastAsiaTheme="minorEastAsia"/>
        </w:rPr>
        <w:t xml:space="preserve">         日</w:t>
      </w:r>
    </w:p>
    <w:p>
      <w:pPr>
        <w:ind w:left="399"/>
        <w:rPr>
          <w:rFonts w:eastAsiaTheme="minorEastAsia"/>
        </w:rPr>
      </w:pPr>
    </w:p>
    <w:p>
      <w:pPr>
        <w:ind w:left="399"/>
      </w:pPr>
      <w:r>
        <w:t xml:space="preserve">六、联系方法 </w:t>
      </w:r>
    </w:p>
    <w:p>
      <w:pPr>
        <w:spacing w:after="0" w:line="240" w:lineRule="auto"/>
        <w:ind w:left="399" w:right="3788"/>
      </w:pPr>
      <w:r>
        <w:t>（一）招标单位：</w:t>
      </w:r>
      <w:r>
        <w:rPr>
          <w:rFonts w:hint="eastAsia" w:eastAsiaTheme="minorEastAsia"/>
        </w:rPr>
        <w:t>长丰供水</w:t>
      </w:r>
      <w:r>
        <w:t xml:space="preserve">集团有限公司 </w:t>
      </w:r>
    </w:p>
    <w:p>
      <w:pPr>
        <w:spacing w:after="0" w:line="240" w:lineRule="auto"/>
        <w:ind w:left="399" w:right="3788"/>
        <w:rPr>
          <w:rFonts w:eastAsiaTheme="minorEastAsia"/>
        </w:rPr>
      </w:pPr>
      <w:r>
        <w:t>地址：</w:t>
      </w:r>
      <w:r>
        <w:rPr>
          <w:rFonts w:hint="eastAsia" w:eastAsiaTheme="minorEastAsia"/>
        </w:rPr>
        <w:t xml:space="preserve"> 长丰县供水公司</w:t>
      </w:r>
    </w:p>
    <w:p>
      <w:pPr>
        <w:spacing w:after="0" w:line="240" w:lineRule="auto"/>
        <w:ind w:left="399" w:right="3788"/>
      </w:pPr>
      <w:r>
        <w:t>联系人：</w:t>
      </w:r>
      <w:r>
        <w:rPr>
          <w:rFonts w:hint="eastAsia" w:eastAsiaTheme="minorEastAsia"/>
        </w:rPr>
        <w:t xml:space="preserve"> </w:t>
      </w:r>
      <w:r>
        <w:t xml:space="preserve"> 康工</w:t>
      </w:r>
    </w:p>
    <w:p>
      <w:pPr>
        <w:spacing w:line="240" w:lineRule="auto"/>
        <w:ind w:left="399"/>
      </w:pPr>
      <w:r>
        <w:t>电话： 13866104257</w:t>
      </w:r>
    </w:p>
    <w:p>
      <w:pPr>
        <w:spacing w:line="240" w:lineRule="auto"/>
        <w:ind w:left="399"/>
        <w:rPr>
          <w:rFonts w:eastAsiaTheme="minorEastAsia"/>
        </w:rPr>
      </w:pPr>
      <w:r>
        <w:t>（二）招标代理机构：</w:t>
      </w:r>
    </w:p>
    <w:p>
      <w:pPr>
        <w:spacing w:line="240" w:lineRule="auto"/>
        <w:ind w:left="399"/>
        <w:rPr>
          <w:rFonts w:eastAsiaTheme="minorEastAsia"/>
        </w:rPr>
      </w:pPr>
      <w:r>
        <w:t>地址：</w:t>
      </w:r>
      <w:r>
        <w:rPr>
          <w:rFonts w:hint="eastAsia" w:eastAsiaTheme="minorEastAsia"/>
        </w:rPr>
        <w:t xml:space="preserve"> </w:t>
      </w:r>
    </w:p>
    <w:p>
      <w:pPr>
        <w:spacing w:line="240" w:lineRule="auto"/>
        <w:ind w:left="399"/>
        <w:rPr>
          <w:rFonts w:eastAsiaTheme="minorEastAsia"/>
        </w:rPr>
      </w:pPr>
      <w:r>
        <w:t xml:space="preserve"> 联系人：</w:t>
      </w:r>
      <w:r>
        <w:rPr>
          <w:rFonts w:hint="eastAsia" w:eastAsiaTheme="minorEastAsia"/>
        </w:rPr>
        <w:t xml:space="preserve"> </w:t>
      </w:r>
    </w:p>
    <w:p>
      <w:pPr>
        <w:spacing w:line="240" w:lineRule="auto"/>
        <w:ind w:left="399"/>
      </w:pPr>
      <w:r>
        <w:t xml:space="preserve">电话： </w:t>
      </w:r>
    </w:p>
    <w:p>
      <w:pPr>
        <w:spacing w:line="389" w:lineRule="auto"/>
        <w:ind w:left="399" w:right="1005"/>
      </w:pPr>
      <w:r>
        <w:t xml:space="preserve">七、其他事项说明 </w:t>
      </w:r>
    </w:p>
    <w:p>
      <w:pPr>
        <w:spacing w:line="383" w:lineRule="auto"/>
        <w:ind w:left="172" w:firstLine="188"/>
      </w:pPr>
      <w:r>
        <w:t xml:space="preserve">1．有任何疑问或问题，请在工作时间（周一至周五，上午9:00-12:00，下午13:30-17:30，节假日休息）与项目联系人联系。 </w:t>
      </w:r>
    </w:p>
    <w:p>
      <w:pPr>
        <w:spacing w:line="383" w:lineRule="auto"/>
        <w:ind w:left="172" w:firstLine="188"/>
        <w:rPr>
          <w:rFonts w:eastAsiaTheme="minorEastAsia"/>
        </w:rPr>
      </w:pPr>
      <w:r>
        <w:t xml:space="preserve">2.疫情期间，各市场主体均应当按照《安徽合肥公共资源交易中心疫情防控期间交易服务指南》开展公共资源交易活动，谢谢理解、支持。 </w:t>
      </w:r>
    </w:p>
    <w:p>
      <w:pPr>
        <w:spacing w:line="388" w:lineRule="auto"/>
        <w:ind w:left="172" w:right="348" w:firstLine="188"/>
      </w:pPr>
      <w:r>
        <w:t>3.本招标邀请以招标公告形式在</w:t>
      </w:r>
      <w:r>
        <w:rPr>
          <w:rFonts w:hint="eastAsia" w:eastAsiaTheme="minorEastAsia"/>
          <w:u w:val="single"/>
        </w:rPr>
        <w:t xml:space="preserve"> </w:t>
      </w:r>
      <w:r>
        <w:rPr>
          <w:rFonts w:eastAsiaTheme="minorEastAsia"/>
          <w:u w:val="single"/>
        </w:rPr>
        <w:t xml:space="preserve">                长丰供水集团                                     </w:t>
      </w:r>
      <w:r>
        <w:t xml:space="preserve">有限公司网站上发布。 </w:t>
      </w:r>
    </w:p>
    <w:p>
      <w:pPr>
        <w:spacing w:line="388" w:lineRule="auto"/>
        <w:ind w:left="172" w:right="348" w:firstLine="188"/>
      </w:pPr>
    </w:p>
    <w:p>
      <w:pPr>
        <w:spacing w:line="388" w:lineRule="auto"/>
        <w:ind w:left="172" w:right="348" w:firstLine="188"/>
      </w:pPr>
    </w:p>
    <w:p>
      <w:pPr>
        <w:spacing w:line="388" w:lineRule="auto"/>
        <w:ind w:left="172" w:right="348" w:firstLine="188"/>
      </w:pPr>
    </w:p>
    <w:p>
      <w:pPr>
        <w:spacing w:line="388" w:lineRule="auto"/>
        <w:ind w:left="172" w:right="348" w:firstLine="188"/>
      </w:pPr>
    </w:p>
    <w:p>
      <w:pPr>
        <w:pStyle w:val="2"/>
        <w:spacing w:after="290" w:line="240" w:lineRule="auto"/>
        <w:ind w:left="3312"/>
        <w:jc w:val="left"/>
      </w:pPr>
      <w:bookmarkStart w:id="1" w:name="_Toc87528823"/>
      <w:r>
        <w:t>第二章 投标人须知前附表</w:t>
      </w:r>
      <w:bookmarkEnd w:id="1"/>
      <w:r>
        <w:t xml:space="preserve"> </w:t>
      </w:r>
    </w:p>
    <w:tbl>
      <w:tblPr>
        <w:tblStyle w:val="11"/>
        <w:tblW w:w="9674" w:type="dxa"/>
        <w:tblInd w:w="50" w:type="dxa"/>
        <w:tblLayout w:type="autofit"/>
        <w:tblCellMar>
          <w:top w:w="0" w:type="dxa"/>
          <w:left w:w="108" w:type="dxa"/>
          <w:bottom w:w="59" w:type="dxa"/>
          <w:right w:w="29" w:type="dxa"/>
        </w:tblCellMar>
      </w:tblPr>
      <w:tblGrid>
        <w:gridCol w:w="591"/>
        <w:gridCol w:w="1528"/>
        <w:gridCol w:w="7555"/>
      </w:tblGrid>
      <w:tr>
        <w:tblPrEx>
          <w:tblCellMar>
            <w:top w:w="0" w:type="dxa"/>
            <w:left w:w="108" w:type="dxa"/>
            <w:bottom w:w="59" w:type="dxa"/>
            <w:right w:w="29" w:type="dxa"/>
          </w:tblCellMar>
        </w:tblPrEx>
        <w:trPr>
          <w:trHeight w:val="634" w:hRule="atLeast"/>
        </w:trPr>
        <w:tc>
          <w:tcPr>
            <w:tcW w:w="591" w:type="dxa"/>
            <w:tcBorders>
              <w:top w:val="single" w:color="000000" w:sz="6" w:space="0"/>
              <w:left w:val="single" w:color="000000" w:sz="6" w:space="0"/>
              <w:bottom w:val="single" w:color="000000" w:sz="6" w:space="0"/>
              <w:right w:val="single" w:color="000000" w:sz="6" w:space="0"/>
            </w:tcBorders>
          </w:tcPr>
          <w:p>
            <w:pPr>
              <w:spacing w:after="46" w:line="240" w:lineRule="auto"/>
              <w:ind w:left="58" w:right="0" w:firstLine="0"/>
              <w:jc w:val="both"/>
            </w:pPr>
            <w:r>
              <w:t>序</w:t>
            </w:r>
          </w:p>
          <w:p>
            <w:pPr>
              <w:spacing w:after="0" w:line="276" w:lineRule="auto"/>
              <w:ind w:left="58" w:right="0" w:firstLine="0"/>
              <w:jc w:val="both"/>
            </w:pPr>
            <w:r>
              <w:t xml:space="preserve">号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内容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说明与要求 </w:t>
            </w:r>
          </w:p>
        </w:tc>
      </w:tr>
      <w:tr>
        <w:tblPrEx>
          <w:tblCellMar>
            <w:top w:w="0" w:type="dxa"/>
            <w:left w:w="108" w:type="dxa"/>
            <w:bottom w:w="59" w:type="dxa"/>
            <w:right w:w="29" w:type="dxa"/>
          </w:tblCellMar>
        </w:tblPrEx>
        <w:trPr>
          <w:trHeight w:val="505"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15" w:right="0" w:firstLine="0"/>
            </w:pPr>
            <w:r>
              <w:t xml:space="preserve">1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260" w:right="0" w:firstLine="0"/>
            </w:pPr>
            <w:r>
              <w:t xml:space="preserve">业主单位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长丰供水集团有限公司 </w:t>
            </w:r>
          </w:p>
        </w:tc>
      </w:tr>
      <w:tr>
        <w:tblPrEx>
          <w:tblCellMar>
            <w:top w:w="0" w:type="dxa"/>
            <w:left w:w="108" w:type="dxa"/>
            <w:bottom w:w="59" w:type="dxa"/>
            <w:right w:w="29" w:type="dxa"/>
          </w:tblCellMar>
        </w:tblPrEx>
        <w:trPr>
          <w:trHeight w:val="519"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15" w:right="0" w:firstLine="0"/>
            </w:pPr>
            <w:r>
              <w:t xml:space="preserve">2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委托单位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长丰供水集团有限公司 </w:t>
            </w:r>
          </w:p>
        </w:tc>
      </w:tr>
      <w:tr>
        <w:tblPrEx>
          <w:tblCellMar>
            <w:top w:w="0" w:type="dxa"/>
            <w:left w:w="108" w:type="dxa"/>
            <w:bottom w:w="59" w:type="dxa"/>
            <w:right w:w="29" w:type="dxa"/>
          </w:tblCellMar>
        </w:tblPrEx>
        <w:trPr>
          <w:trHeight w:val="1412"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15" w:right="0" w:firstLine="0"/>
            </w:pPr>
            <w:r>
              <w:t xml:space="preserve">3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招标代理机构 </w:t>
            </w:r>
          </w:p>
        </w:tc>
        <w:tc>
          <w:tcPr>
            <w:tcW w:w="75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rPr>
                <w:rFonts w:ascii="Times New Roman" w:hAnsi="Times New Roman" w:eastAsia="Times New Roman" w:cs="Times New Roman"/>
                <w:b/>
              </w:rPr>
              <w:t xml:space="preserve"> </w:t>
            </w:r>
          </w:p>
        </w:tc>
      </w:tr>
      <w:tr>
        <w:tblPrEx>
          <w:tblCellMar>
            <w:top w:w="0" w:type="dxa"/>
            <w:left w:w="108" w:type="dxa"/>
            <w:bottom w:w="59" w:type="dxa"/>
            <w:right w:w="29" w:type="dxa"/>
          </w:tblCellMar>
        </w:tblPrEx>
        <w:trPr>
          <w:trHeight w:val="1413"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15" w:right="0" w:firstLine="0"/>
            </w:pPr>
            <w:r>
              <w:t xml:space="preserve">4 </w:t>
            </w:r>
          </w:p>
        </w:tc>
        <w:tc>
          <w:tcPr>
            <w:tcW w:w="1528" w:type="dxa"/>
            <w:tcBorders>
              <w:top w:val="single" w:color="000000" w:sz="6" w:space="0"/>
              <w:left w:val="single" w:color="000000" w:sz="6" w:space="0"/>
              <w:bottom w:val="single" w:color="000000" w:sz="6" w:space="0"/>
              <w:right w:val="single" w:color="000000" w:sz="6" w:space="0"/>
            </w:tcBorders>
          </w:tcPr>
          <w:p>
            <w:pPr>
              <w:spacing w:after="219" w:line="240" w:lineRule="auto"/>
              <w:ind w:left="44" w:right="0" w:firstLine="0"/>
              <w:jc w:val="both"/>
            </w:pPr>
            <w:r>
              <w:t>招标监督管</w:t>
            </w:r>
          </w:p>
          <w:p>
            <w:pPr>
              <w:spacing w:after="0" w:line="276" w:lineRule="auto"/>
              <w:ind w:left="288" w:right="0" w:firstLine="0"/>
            </w:pPr>
            <w:r>
              <w:t xml:space="preserve">理机构 </w:t>
            </w:r>
          </w:p>
        </w:tc>
        <w:tc>
          <w:tcPr>
            <w:tcW w:w="75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0" w:type="dxa"/>
            <w:left w:w="108" w:type="dxa"/>
            <w:bottom w:w="59" w:type="dxa"/>
            <w:right w:w="29" w:type="dxa"/>
          </w:tblCellMar>
        </w:tblPrEx>
        <w:trPr>
          <w:trHeight w:val="519"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15" w:right="0" w:firstLine="0"/>
            </w:pPr>
            <w:r>
              <w:t xml:space="preserve">5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项目名称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长丰供水集团</w:t>
            </w:r>
            <w:r>
              <w:rPr>
                <w:rFonts w:hint="eastAsia" w:eastAsiaTheme="minorEastAsia"/>
              </w:rPr>
              <w:t>W</w:t>
            </w:r>
            <w:r>
              <w:rPr>
                <w:rFonts w:eastAsiaTheme="minorEastAsia"/>
              </w:rPr>
              <w:t>MS</w:t>
            </w:r>
            <w:r>
              <w:t xml:space="preserve">智能仓储管理系统建设 </w:t>
            </w:r>
          </w:p>
        </w:tc>
      </w:tr>
      <w:tr>
        <w:tblPrEx>
          <w:tblCellMar>
            <w:top w:w="0" w:type="dxa"/>
            <w:left w:w="108" w:type="dxa"/>
            <w:bottom w:w="59" w:type="dxa"/>
            <w:right w:w="29" w:type="dxa"/>
          </w:tblCellMar>
        </w:tblPrEx>
        <w:trPr>
          <w:trHeight w:val="505"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15" w:right="0" w:firstLine="0"/>
            </w:pPr>
            <w:r>
              <w:t xml:space="preserve">6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项目编号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p>
        </w:tc>
      </w:tr>
      <w:tr>
        <w:tblPrEx>
          <w:tblCellMar>
            <w:top w:w="0" w:type="dxa"/>
            <w:left w:w="108" w:type="dxa"/>
            <w:bottom w:w="59" w:type="dxa"/>
            <w:right w:w="29" w:type="dxa"/>
          </w:tblCellMar>
        </w:tblPrEx>
        <w:trPr>
          <w:trHeight w:val="518"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15" w:right="0" w:firstLine="0"/>
            </w:pPr>
            <w:r>
              <w:t xml:space="preserve">7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项目性质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服务类 </w:t>
            </w:r>
          </w:p>
        </w:tc>
      </w:tr>
      <w:tr>
        <w:tblPrEx>
          <w:tblCellMar>
            <w:top w:w="0" w:type="dxa"/>
            <w:left w:w="108" w:type="dxa"/>
            <w:bottom w:w="59" w:type="dxa"/>
            <w:right w:w="29" w:type="dxa"/>
          </w:tblCellMar>
        </w:tblPrEx>
        <w:trPr>
          <w:trHeight w:val="519" w:hRule="atLeast"/>
        </w:trPr>
        <w:tc>
          <w:tcPr>
            <w:tcW w:w="591" w:type="dxa"/>
            <w:tcBorders>
              <w:top w:val="single" w:color="000000" w:sz="6" w:space="0"/>
              <w:left w:val="single" w:color="000000" w:sz="6" w:space="0"/>
              <w:bottom w:val="single" w:color="000000" w:sz="6" w:space="0"/>
              <w:right w:val="single" w:color="000000" w:sz="6" w:space="0"/>
            </w:tcBorders>
          </w:tcPr>
          <w:p>
            <w:pPr>
              <w:spacing w:after="0" w:line="276" w:lineRule="auto"/>
              <w:ind w:left="115" w:right="0" w:firstLine="0"/>
            </w:pPr>
            <w:r>
              <w:t xml:space="preserve">8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资金来源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详见招标公告 </w:t>
            </w:r>
          </w:p>
        </w:tc>
      </w:tr>
      <w:tr>
        <w:tblPrEx>
          <w:tblCellMar>
            <w:top w:w="0" w:type="dxa"/>
            <w:left w:w="108" w:type="dxa"/>
            <w:bottom w:w="59" w:type="dxa"/>
            <w:right w:w="29" w:type="dxa"/>
          </w:tblCellMar>
        </w:tblPrEx>
        <w:trPr>
          <w:trHeight w:val="505" w:hRule="atLeast"/>
        </w:trPr>
        <w:tc>
          <w:tcPr>
            <w:tcW w:w="591" w:type="dxa"/>
            <w:tcBorders>
              <w:top w:val="single" w:color="000000" w:sz="6" w:space="0"/>
              <w:left w:val="single" w:color="000000" w:sz="6" w:space="0"/>
              <w:bottom w:val="single" w:color="000000" w:sz="6" w:space="0"/>
              <w:right w:val="single" w:color="000000" w:sz="6" w:space="0"/>
            </w:tcBorders>
          </w:tcPr>
          <w:p>
            <w:pPr>
              <w:spacing w:after="0" w:line="276" w:lineRule="auto"/>
              <w:ind w:left="72" w:right="0" w:firstLine="0"/>
            </w:pPr>
            <w:r>
              <w:t xml:space="preserve">9 </w:t>
            </w:r>
          </w:p>
        </w:tc>
        <w:tc>
          <w:tcPr>
            <w:tcW w:w="1528" w:type="dxa"/>
            <w:tcBorders>
              <w:top w:val="single" w:color="000000" w:sz="6" w:space="0"/>
              <w:left w:val="single" w:color="000000" w:sz="6" w:space="0"/>
              <w:bottom w:val="single" w:color="000000" w:sz="6" w:space="0"/>
              <w:right w:val="single" w:color="000000" w:sz="6" w:space="0"/>
            </w:tcBorders>
          </w:tcPr>
          <w:p>
            <w:pPr>
              <w:spacing w:after="0" w:line="276" w:lineRule="auto"/>
              <w:ind w:left="173" w:right="0" w:firstLine="0"/>
            </w:pPr>
            <w:r>
              <w:t xml:space="preserve">标段划分 </w:t>
            </w:r>
          </w:p>
        </w:tc>
        <w:tc>
          <w:tcPr>
            <w:tcW w:w="75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rPr>
                <w:rFonts w:ascii="Wingdings" w:hAnsi="Wingdings" w:eastAsia="Wingdings" w:cs="Wingdings"/>
              </w:rPr>
              <w:t></w:t>
            </w:r>
            <w:r>
              <w:t xml:space="preserve">不分标段    □分为  个标段 </w:t>
            </w:r>
          </w:p>
        </w:tc>
      </w:tr>
      <w:tr>
        <w:tblPrEx>
          <w:tblCellMar>
            <w:top w:w="0" w:type="dxa"/>
            <w:left w:w="108" w:type="dxa"/>
            <w:bottom w:w="59" w:type="dxa"/>
            <w:right w:w="29" w:type="dxa"/>
          </w:tblCellMar>
        </w:tblPrEx>
        <w:trPr>
          <w:trHeight w:val="4021"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both"/>
            </w:pPr>
            <w:r>
              <w:t xml:space="preserve">10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付款方式 </w:t>
            </w:r>
          </w:p>
        </w:tc>
        <w:tc>
          <w:tcPr>
            <w:tcW w:w="7555" w:type="dxa"/>
            <w:tcBorders>
              <w:top w:val="single" w:color="000000" w:sz="6" w:space="0"/>
              <w:left w:val="single" w:color="000000" w:sz="6" w:space="0"/>
              <w:bottom w:val="single" w:color="000000" w:sz="6" w:space="0"/>
              <w:right w:val="single" w:color="000000" w:sz="6" w:space="0"/>
            </w:tcBorders>
          </w:tcPr>
          <w:p>
            <w:pPr>
              <w:spacing w:after="226" w:line="419" w:lineRule="auto"/>
              <w:ind w:left="0" w:right="0" w:firstLine="0"/>
              <w:rPr>
                <w:rFonts w:eastAsiaTheme="minorEastAsia"/>
              </w:rPr>
            </w:pPr>
            <w:r>
              <w:t>付款方式：</w:t>
            </w:r>
          </w:p>
          <w:p>
            <w:pPr>
              <w:spacing w:after="226" w:line="419" w:lineRule="auto"/>
              <w:ind w:left="0" w:right="0" w:firstLine="0"/>
              <w:rPr>
                <w:rFonts w:eastAsiaTheme="minorEastAsia"/>
              </w:rPr>
            </w:pPr>
            <w:r>
              <w:t>1.项目无预付款，中标人完成</w:t>
            </w:r>
            <w:r>
              <w:rPr>
                <w:rFonts w:hint="eastAsia" w:eastAsiaTheme="minorEastAsia"/>
              </w:rPr>
              <w:t>W</w:t>
            </w:r>
            <w:r>
              <w:rPr>
                <w:rFonts w:eastAsiaTheme="minorEastAsia"/>
              </w:rPr>
              <w:t>MS</w:t>
            </w:r>
            <w:r>
              <w:t>智能仓储系统所有功能的开发且具备上线条件，上线试运行后支付至合同总金额的</w:t>
            </w:r>
            <w:r>
              <w:rPr>
                <w:rFonts w:ascii="Tahoma" w:hAnsi="Tahoma" w:eastAsia="Tahoma" w:cs="Tahoma"/>
              </w:rPr>
              <w:t>70%</w:t>
            </w:r>
            <w:r>
              <w:t>；</w:t>
            </w:r>
            <w:r>
              <w:rPr>
                <w:rFonts w:ascii="Tahoma" w:hAnsi="Tahoma" w:eastAsia="Tahoma" w:cs="Tahoma"/>
              </w:rPr>
              <w:t xml:space="preserve"> </w:t>
            </w:r>
          </w:p>
          <w:p>
            <w:pPr>
              <w:spacing w:after="246" w:line="240" w:lineRule="auto"/>
              <w:ind w:left="0" w:right="0" w:firstLine="0"/>
            </w:pPr>
            <w:r>
              <w:rPr>
                <w:rFonts w:ascii="Tahoma" w:hAnsi="Tahoma" w:eastAsia="Tahoma" w:cs="Tahoma"/>
              </w:rPr>
              <w:t>2.</w:t>
            </w:r>
            <w:r>
              <w:t xml:space="preserve">验收合格后一个月内，支付至合同总金额的 </w:t>
            </w:r>
            <w:r>
              <w:rPr>
                <w:rFonts w:ascii="Tahoma" w:hAnsi="Tahoma" w:eastAsia="Tahoma" w:cs="Tahoma"/>
              </w:rPr>
              <w:t>97%</w:t>
            </w:r>
            <w:r>
              <w:t>；</w:t>
            </w:r>
            <w:r>
              <w:rPr>
                <w:rFonts w:ascii="Tahoma" w:hAnsi="Tahoma" w:eastAsia="Tahoma" w:cs="Tahoma"/>
              </w:rPr>
              <w:t xml:space="preserve"> </w:t>
            </w:r>
          </w:p>
          <w:p>
            <w:pPr>
              <w:spacing w:after="0" w:line="276" w:lineRule="auto"/>
              <w:ind w:left="0" w:right="50" w:firstLine="0"/>
              <w:jc w:val="both"/>
            </w:pPr>
            <w:r>
              <w:rPr>
                <w:rFonts w:ascii="Tahoma" w:hAnsi="Tahoma" w:eastAsia="Tahoma" w:cs="Tahoma"/>
              </w:rPr>
              <w:t>3.验收合格质保期内</w:t>
            </w:r>
            <w:r>
              <w:t xml:space="preserve">无质量和售后服务问题后 </w:t>
            </w:r>
            <w:r>
              <w:rPr>
                <w:rFonts w:ascii="Tahoma" w:hAnsi="Tahoma" w:eastAsia="Tahoma" w:cs="Tahoma"/>
              </w:rPr>
              <w:t xml:space="preserve">30 </w:t>
            </w:r>
            <w:r>
              <w:t xml:space="preserve">个日历天内一次性无息支付剩余 </w:t>
            </w:r>
            <w:r>
              <w:rPr>
                <w:rFonts w:ascii="Tahoma" w:hAnsi="Tahoma" w:eastAsia="Tahoma" w:cs="Tahoma"/>
              </w:rPr>
              <w:t>3%</w:t>
            </w:r>
            <w:r>
              <w:t>款项；</w:t>
            </w:r>
            <w:r>
              <w:rPr>
                <w:rFonts w:ascii="Tahoma" w:hAnsi="Tahoma" w:eastAsia="Tahoma" w:cs="Tahoma"/>
              </w:rPr>
              <w:t xml:space="preserve"> </w:t>
            </w:r>
            <w:r>
              <w:t>注：首次付款前中标人须提供增值税专用发票。</w:t>
            </w:r>
            <w:r>
              <w:rPr>
                <w:rFonts w:ascii="Tahoma" w:hAnsi="Tahoma" w:eastAsia="Tahoma" w:cs="Tahoma"/>
              </w:rPr>
              <w:t xml:space="preserve"> </w:t>
            </w:r>
            <w:r>
              <w:t xml:space="preserve">投标人提交的响应文件中如有关于付款条件的表述与招标文件规定负偏离的，投标无效。 </w:t>
            </w:r>
          </w:p>
        </w:tc>
      </w:tr>
      <w:tr>
        <w:tblPrEx>
          <w:tblCellMar>
            <w:top w:w="0" w:type="dxa"/>
            <w:left w:w="108" w:type="dxa"/>
            <w:bottom w:w="59" w:type="dxa"/>
            <w:right w:w="29" w:type="dxa"/>
          </w:tblCellMar>
        </w:tblPrEx>
        <w:trPr>
          <w:trHeight w:val="605"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pPr>
            <w:r>
              <w:t xml:space="preserve">11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44" w:right="0" w:firstLine="0"/>
              <w:jc w:val="both"/>
            </w:pPr>
            <w:r>
              <w:t xml:space="preserve">联合体招标 </w:t>
            </w:r>
          </w:p>
        </w:tc>
        <w:tc>
          <w:tcPr>
            <w:tcW w:w="7555"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pPr>
            <w:r>
              <w:t xml:space="preserve">□接受  </w:t>
            </w:r>
            <w:r>
              <w:rPr>
                <w:rFonts w:ascii="Wingdings" w:hAnsi="Wingdings" w:eastAsia="Wingdings" w:cs="Wingdings"/>
              </w:rPr>
              <w:t></w:t>
            </w:r>
            <w:r>
              <w:t xml:space="preserve">不接受 </w:t>
            </w:r>
          </w:p>
        </w:tc>
      </w:tr>
      <w:tr>
        <w:tblPrEx>
          <w:tblCellMar>
            <w:top w:w="0" w:type="dxa"/>
            <w:left w:w="108" w:type="dxa"/>
            <w:bottom w:w="59" w:type="dxa"/>
            <w:right w:w="29" w:type="dxa"/>
          </w:tblCellMar>
        </w:tblPrEx>
        <w:trPr>
          <w:trHeight w:val="620"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pPr>
            <w:r>
              <w:t xml:space="preserve">12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44" w:right="0" w:firstLine="0"/>
              <w:jc w:val="both"/>
            </w:pPr>
            <w:r>
              <w:t xml:space="preserve">投标有效期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960" w:firstLineChars="400"/>
            </w:pPr>
            <w:r>
              <w:rPr>
                <w:rFonts w:hint="eastAsia" w:eastAsiaTheme="minorEastAsia"/>
              </w:rPr>
              <w:t>1</w:t>
            </w:r>
            <w:r>
              <w:rPr>
                <w:rFonts w:eastAsiaTheme="minorEastAsia"/>
              </w:rPr>
              <w:t>20</w:t>
            </w:r>
            <w:r>
              <w:t xml:space="preserve">天 </w:t>
            </w:r>
          </w:p>
        </w:tc>
      </w:tr>
      <w:tr>
        <w:tblPrEx>
          <w:tblCellMar>
            <w:top w:w="0" w:type="dxa"/>
            <w:left w:w="108" w:type="dxa"/>
            <w:bottom w:w="59" w:type="dxa"/>
            <w:right w:w="29" w:type="dxa"/>
          </w:tblCellMar>
        </w:tblPrEx>
        <w:trPr>
          <w:trHeight w:val="605"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pPr>
            <w:r>
              <w:t xml:space="preserve">13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服务地点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合肥市长丰县 </w:t>
            </w:r>
          </w:p>
        </w:tc>
      </w:tr>
      <w:tr>
        <w:tblPrEx>
          <w:tblCellMar>
            <w:top w:w="0" w:type="dxa"/>
            <w:left w:w="108" w:type="dxa"/>
            <w:bottom w:w="59" w:type="dxa"/>
            <w:right w:w="29" w:type="dxa"/>
          </w:tblCellMar>
        </w:tblPrEx>
        <w:trPr>
          <w:trHeight w:val="1513"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pPr>
            <w:r>
              <w:t xml:space="preserve">14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服务期限 </w:t>
            </w:r>
          </w:p>
        </w:tc>
        <w:tc>
          <w:tcPr>
            <w:tcW w:w="75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自合同签订之日起至30个日历天内完成系统全部功能上线试运行，经历60个日历天的上线试运行后，招标人组织验收；验收合格之日起投标人提供3年质保期。 </w:t>
            </w:r>
          </w:p>
        </w:tc>
      </w:tr>
      <w:tr>
        <w:tblPrEx>
          <w:tblCellMar>
            <w:top w:w="0" w:type="dxa"/>
            <w:left w:w="108" w:type="dxa"/>
            <w:bottom w:w="59" w:type="dxa"/>
            <w:right w:w="29" w:type="dxa"/>
          </w:tblCellMar>
        </w:tblPrEx>
        <w:trPr>
          <w:trHeight w:val="5001"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pPr>
            <w:r>
              <w:t xml:space="preserve">15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答疑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rPr>
                <w:rFonts w:eastAsiaTheme="minorEastAsia"/>
              </w:rPr>
            </w:pPr>
            <w:r>
              <w:t>2021年   月   日17:30前接受网上答疑（逾期不予受理），疑问的提出与答疑获取详见招标文件第三章投标人须知第13条。 投标人请注意：</w:t>
            </w:r>
            <w:r>
              <w:rPr>
                <w:rFonts w:hint="eastAsia" w:eastAsiaTheme="minorEastAsia"/>
              </w:rPr>
              <w:t xml:space="preserve"> </w:t>
            </w:r>
            <w:r>
              <w:rPr>
                <w:rFonts w:eastAsiaTheme="minorEastAsia"/>
              </w:rPr>
              <w:t xml:space="preserve">                    </w:t>
            </w:r>
            <w:r>
              <w:rPr>
                <w:rFonts w:hint="eastAsia" w:eastAsiaTheme="minorEastAsia"/>
              </w:rPr>
              <w:t xml:space="preserve"> </w:t>
            </w:r>
            <w:r>
              <w:rPr>
                <w:rFonts w:eastAsiaTheme="minorEastAsia"/>
              </w:rPr>
              <w:t xml:space="preserve">       </w:t>
            </w:r>
            <w:r>
              <w:rPr>
                <w:rFonts w:hint="eastAsia" w:eastAsiaTheme="minorEastAsia"/>
                <w:u w:val="single"/>
              </w:rPr>
              <w:t xml:space="preserve"> </w:t>
            </w:r>
            <w:r>
              <w:rPr>
                <w:rFonts w:eastAsiaTheme="minorEastAsia"/>
                <w:u w:val="single"/>
              </w:rPr>
              <w:t xml:space="preserve">                                                                          </w:t>
            </w:r>
            <w:r>
              <w:rPr>
                <w:rFonts w:hint="eastAsia" w:eastAsiaTheme="minorEastAsia"/>
              </w:rPr>
              <w:t xml:space="preserve"> </w:t>
            </w:r>
            <w:r>
              <w:rPr>
                <w:rFonts w:eastAsiaTheme="minorEastAsia"/>
              </w:rPr>
              <w:t xml:space="preserve">                                                              </w:t>
            </w:r>
            <w:r>
              <w:t>招标文件的澄清、更正或更改，将在网站上及时发布，该公告内容为招标文件的组成部分，对投标人具有同样约束力效力。投标人应主动上网查询。</w:t>
            </w:r>
            <w:r>
              <w:rPr>
                <w:rFonts w:hint="eastAsia" w:eastAsiaTheme="minorEastAsia"/>
              </w:rPr>
              <w:t xml:space="preserve"> 长丰供水集团有限公司</w:t>
            </w:r>
            <w:r>
              <w:rPr>
                <w:rFonts w:eastAsiaTheme="minorEastAsia"/>
              </w:rPr>
              <w:t xml:space="preserve"> </w:t>
            </w:r>
            <w:r>
              <w:t>不承担投标人未及时关注相关信息引发的相关责任。上述澄清、更正或更改在网站上发布的同时，平台将通过第三方短信群发方式提醒投标人进行查询。此短信仅系友情提示，并不具有任何约束性和必要性，</w:t>
            </w:r>
            <w:r>
              <w:rPr>
                <w:rFonts w:hint="eastAsia" w:eastAsiaTheme="minorEastAsia"/>
              </w:rPr>
              <w:t>长丰供水集团有限公司</w:t>
            </w:r>
            <w:r>
              <w:rPr>
                <w:rFonts w:eastAsiaTheme="minorEastAsia"/>
              </w:rPr>
              <w:t xml:space="preserve">  </w:t>
            </w:r>
            <w:r>
              <w:t xml:space="preserve">不承担投标人未收到短信而引起的一切后果和法律责任。 </w:t>
            </w:r>
          </w:p>
        </w:tc>
      </w:tr>
      <w:tr>
        <w:tblPrEx>
          <w:tblCellMar>
            <w:top w:w="0" w:type="dxa"/>
            <w:left w:w="108" w:type="dxa"/>
            <w:bottom w:w="59" w:type="dxa"/>
            <w:right w:w="29" w:type="dxa"/>
          </w:tblCellMar>
        </w:tblPrEx>
        <w:trPr>
          <w:trHeight w:val="533" w:hRule="atLeast"/>
        </w:trPr>
        <w:tc>
          <w:tcPr>
            <w:tcW w:w="591"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58" w:right="0" w:firstLine="0"/>
            </w:pPr>
            <w:r>
              <w:t xml:space="preserve">16 </w:t>
            </w:r>
          </w:p>
        </w:tc>
        <w:tc>
          <w:tcPr>
            <w:tcW w:w="1528"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173" w:right="0" w:firstLine="0"/>
            </w:pPr>
            <w:r>
              <w:t xml:space="preserve">踏勘现场 </w:t>
            </w:r>
          </w:p>
        </w:tc>
        <w:tc>
          <w:tcPr>
            <w:tcW w:w="7555"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pPr>
            <w:r>
              <w:rPr>
                <w:rFonts w:ascii="Wingdings" w:hAnsi="Wingdings" w:eastAsia="Wingdings" w:cs="Wingdings"/>
              </w:rPr>
              <w:t></w:t>
            </w:r>
            <w:r>
              <w:t xml:space="preserve">自行踏勘  □招标人统一组织 </w:t>
            </w:r>
          </w:p>
        </w:tc>
      </w:tr>
      <w:tr>
        <w:tblPrEx>
          <w:tblCellMar>
            <w:top w:w="0" w:type="dxa"/>
            <w:left w:w="108" w:type="dxa"/>
            <w:bottom w:w="59" w:type="dxa"/>
            <w:right w:w="29" w:type="dxa"/>
          </w:tblCellMar>
        </w:tblPrEx>
        <w:trPr>
          <w:trHeight w:val="1077"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pPr>
            <w:r>
              <w:t xml:space="preserve">17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响应文件份数及要求 </w:t>
            </w:r>
          </w:p>
        </w:tc>
        <w:tc>
          <w:tcPr>
            <w:tcW w:w="75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3份</w:t>
            </w:r>
          </w:p>
        </w:tc>
      </w:tr>
      <w:tr>
        <w:tblPrEx>
          <w:tblCellMar>
            <w:top w:w="0" w:type="dxa"/>
            <w:left w:w="108" w:type="dxa"/>
            <w:bottom w:w="59" w:type="dxa"/>
            <w:right w:w="29" w:type="dxa"/>
          </w:tblCellMar>
        </w:tblPrEx>
        <w:trPr>
          <w:trHeight w:val="1327"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pPr>
            <w:r>
              <w:t>18</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响应文件提交截止时间 </w:t>
            </w:r>
          </w:p>
        </w:tc>
        <w:tc>
          <w:tcPr>
            <w:tcW w:w="75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rPr>
                <w:rFonts w:eastAsiaTheme="minorEastAsia"/>
              </w:rPr>
            </w:pPr>
            <w:r>
              <w:rPr>
                <w:rFonts w:hint="eastAsia" w:eastAsiaTheme="minorEastAsia"/>
                <w:color w:val="000000" w:themeColor="text1"/>
                <w14:textFill>
                  <w14:solidFill>
                    <w14:schemeClr w14:val="tx1"/>
                  </w14:solidFill>
                </w14:textFill>
              </w:rPr>
              <w:t>2</w:t>
            </w:r>
            <w:r>
              <w:rPr>
                <w:rFonts w:eastAsiaTheme="minorEastAsia"/>
                <w:color w:val="000000" w:themeColor="text1"/>
                <w14:textFill>
                  <w14:solidFill>
                    <w14:schemeClr w14:val="tx1"/>
                  </w14:solidFill>
                </w14:textFill>
              </w:rPr>
              <w:t>021年</w:t>
            </w:r>
            <w:r>
              <w:rPr>
                <w:rFonts w:hint="eastAsia" w:eastAsiaTheme="minorEastAsia"/>
                <w:color w:val="000000" w:themeColor="text1"/>
                <w14:textFill>
                  <w14:solidFill>
                    <w14:schemeClr w14:val="tx1"/>
                  </w14:solidFill>
                </w14:textFill>
              </w:rPr>
              <w:t xml:space="preserve"> </w:t>
            </w:r>
            <w:r>
              <w:rPr>
                <w:rFonts w:eastAsiaTheme="minorEastAsia"/>
                <w:color w:val="000000" w:themeColor="text1"/>
                <w14:textFill>
                  <w14:solidFill>
                    <w14:schemeClr w14:val="tx1"/>
                  </w14:solidFill>
                </w14:textFill>
              </w:rPr>
              <w:t xml:space="preserve">   月</w:t>
            </w:r>
            <w:r>
              <w:rPr>
                <w:rFonts w:hint="eastAsia" w:eastAsiaTheme="minorEastAsia"/>
                <w:color w:val="000000" w:themeColor="text1"/>
                <w14:textFill>
                  <w14:solidFill>
                    <w14:schemeClr w14:val="tx1"/>
                  </w14:solidFill>
                </w14:textFill>
              </w:rPr>
              <w:t xml:space="preserve"> </w:t>
            </w:r>
            <w:r>
              <w:rPr>
                <w:rFonts w:eastAsiaTheme="minorEastAsia"/>
                <w:color w:val="000000" w:themeColor="text1"/>
                <w14:textFill>
                  <w14:solidFill>
                    <w14:schemeClr w14:val="tx1"/>
                  </w14:solidFill>
                </w14:textFill>
              </w:rPr>
              <w:t xml:space="preserve">   日</w:t>
            </w:r>
          </w:p>
        </w:tc>
      </w:tr>
      <w:tr>
        <w:tblPrEx>
          <w:tblCellMar>
            <w:top w:w="0" w:type="dxa"/>
            <w:left w:w="108" w:type="dxa"/>
            <w:bottom w:w="59" w:type="dxa"/>
            <w:right w:w="29" w:type="dxa"/>
          </w:tblCellMar>
        </w:tblPrEx>
        <w:trPr>
          <w:trHeight w:val="1513" w:hRule="atLeast"/>
        </w:trPr>
        <w:tc>
          <w:tcPr>
            <w:tcW w:w="591"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58" w:right="0" w:firstLine="0"/>
            </w:pPr>
            <w:r>
              <w:t xml:space="preserve">19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招标时间及地点 </w:t>
            </w:r>
          </w:p>
        </w:tc>
        <w:tc>
          <w:tcPr>
            <w:tcW w:w="7555" w:type="dxa"/>
            <w:tcBorders>
              <w:top w:val="single" w:color="000000" w:sz="6" w:space="0"/>
              <w:left w:val="single" w:color="000000" w:sz="6" w:space="0"/>
              <w:bottom w:val="single" w:color="000000" w:sz="6" w:space="0"/>
              <w:right w:val="single" w:color="000000" w:sz="6" w:space="0"/>
            </w:tcBorders>
          </w:tcPr>
          <w:p>
            <w:pPr>
              <w:spacing w:after="248" w:line="240" w:lineRule="auto"/>
              <w:ind w:left="0" w:right="0" w:firstLine="0"/>
            </w:pPr>
            <w:r>
              <w:t xml:space="preserve">招标时间：详见招标公告 </w:t>
            </w:r>
          </w:p>
          <w:p>
            <w:pPr>
              <w:spacing w:after="0" w:line="276" w:lineRule="auto"/>
              <w:ind w:left="0" w:right="0" w:firstLine="0"/>
            </w:pPr>
          </w:p>
        </w:tc>
      </w:tr>
      <w:tr>
        <w:tblPrEx>
          <w:tblCellMar>
            <w:top w:w="0" w:type="dxa"/>
            <w:left w:w="108" w:type="dxa"/>
            <w:bottom w:w="59" w:type="dxa"/>
            <w:right w:w="29" w:type="dxa"/>
          </w:tblCellMar>
        </w:tblPrEx>
        <w:trPr>
          <w:trHeight w:val="1009"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pPr>
            <w:r>
              <w:t xml:space="preserve">20 </w:t>
            </w:r>
          </w:p>
        </w:tc>
        <w:tc>
          <w:tcPr>
            <w:tcW w:w="1528"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t xml:space="preserve">招标与评审办法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综合评分法，详见招标文件第五章招标与评审办法 </w:t>
            </w:r>
          </w:p>
        </w:tc>
      </w:tr>
      <w:tr>
        <w:tblPrEx>
          <w:tblCellMar>
            <w:top w:w="0" w:type="dxa"/>
            <w:left w:w="108" w:type="dxa"/>
            <w:bottom w:w="59" w:type="dxa"/>
            <w:right w:w="29" w:type="dxa"/>
          </w:tblCellMar>
        </w:tblPrEx>
        <w:trPr>
          <w:trHeight w:val="3960" w:hRule="atLeast"/>
        </w:trPr>
        <w:tc>
          <w:tcPr>
            <w:tcW w:w="591" w:type="dxa"/>
            <w:tcBorders>
              <w:top w:val="single" w:color="000000" w:sz="6" w:space="0"/>
              <w:left w:val="single" w:color="000000" w:sz="6" w:space="0"/>
              <w:right w:val="single" w:color="000000" w:sz="6" w:space="0"/>
            </w:tcBorders>
            <w:vAlign w:val="center"/>
          </w:tcPr>
          <w:p>
            <w:pPr>
              <w:spacing w:after="0" w:line="276" w:lineRule="auto"/>
              <w:ind w:left="58" w:right="0" w:firstLine="0"/>
            </w:pPr>
            <w:r>
              <w:t xml:space="preserve">21 </w:t>
            </w:r>
          </w:p>
        </w:tc>
        <w:tc>
          <w:tcPr>
            <w:tcW w:w="1528" w:type="dxa"/>
            <w:tcBorders>
              <w:top w:val="single" w:color="000000" w:sz="6" w:space="0"/>
              <w:left w:val="single" w:color="000000" w:sz="6" w:space="0"/>
              <w:right w:val="single" w:color="000000" w:sz="6" w:space="0"/>
            </w:tcBorders>
            <w:vAlign w:val="center"/>
          </w:tcPr>
          <w:p>
            <w:pPr>
              <w:spacing w:after="0" w:line="276" w:lineRule="auto"/>
              <w:ind w:left="14" w:right="0" w:firstLine="0"/>
              <w:jc w:val="both"/>
            </w:pPr>
            <w:r>
              <w:t>投标人信用</w:t>
            </w:r>
          </w:p>
          <w:p>
            <w:pPr>
              <w:spacing w:after="0" w:line="276" w:lineRule="auto"/>
              <w:ind w:left="14" w:right="0"/>
            </w:pPr>
            <w:r>
              <w:t xml:space="preserve">记录 </w:t>
            </w:r>
          </w:p>
        </w:tc>
        <w:tc>
          <w:tcPr>
            <w:tcW w:w="7555" w:type="dxa"/>
            <w:tcBorders>
              <w:top w:val="single" w:color="000000" w:sz="6" w:space="0"/>
              <w:left w:val="single" w:color="000000" w:sz="6" w:space="0"/>
              <w:right w:val="single" w:color="000000" w:sz="6" w:space="0"/>
            </w:tcBorders>
          </w:tcPr>
          <w:p>
            <w:pPr>
              <w:spacing w:after="0" w:line="276" w:lineRule="auto"/>
              <w:ind w:left="0" w:right="0" w:firstLine="0"/>
              <w:jc w:val="both"/>
            </w:pPr>
            <w:r>
              <w:t>1.响应文件中须提供投标人信用承诺（格式见第七章“投标人信用承</w:t>
            </w:r>
          </w:p>
          <w:p>
            <w:pPr>
              <w:spacing w:after="211" w:line="383" w:lineRule="auto"/>
              <w:ind w:left="0" w:right="0" w:firstLine="0"/>
            </w:pPr>
            <w:r>
              <w:t xml:space="preserve">诺”）【“投标人信用承诺”须盖投标人公章（或投标人电子签章）】。（未提供或提供不符合的，投标无效） </w:t>
            </w:r>
          </w:p>
          <w:p>
            <w:pPr>
              <w:spacing w:line="240" w:lineRule="auto"/>
              <w:ind w:left="0" w:right="0" w:firstLine="0"/>
              <w:jc w:val="both"/>
            </w:pPr>
            <w:r>
              <w:t>2.在推荐中标候选人之前，招标小组须通过信用中国官网</w:t>
            </w:r>
          </w:p>
          <w:p>
            <w:pPr>
              <w:spacing w:after="219" w:line="240" w:lineRule="auto"/>
              <w:ind w:left="0" w:right="0" w:firstLine="0"/>
              <w:jc w:val="both"/>
            </w:pPr>
            <w:r>
              <w:t>（www.creditchina.gov.cn）（仅以此渠道查询结果为准）查询拟推荐</w:t>
            </w:r>
          </w:p>
          <w:p>
            <w:pPr>
              <w:spacing w:after="0" w:line="276" w:lineRule="auto"/>
              <w:ind w:left="0" w:right="0"/>
            </w:pPr>
            <w:r>
              <w:t xml:space="preserve">为中标候选人的投标人的失信被执行人及企业经营异常名录及重大税收违法案件当事人名单，如存在投标人资格规定的不良信用记录情形之一的，则不得推荐为中标候选人，不得确定为中标人。 </w:t>
            </w:r>
          </w:p>
        </w:tc>
      </w:tr>
      <w:tr>
        <w:tblPrEx>
          <w:tblCellMar>
            <w:top w:w="0" w:type="dxa"/>
            <w:left w:w="108" w:type="dxa"/>
            <w:bottom w:w="59" w:type="dxa"/>
            <w:right w:w="29" w:type="dxa"/>
          </w:tblCellMar>
        </w:tblPrEx>
        <w:trPr>
          <w:trHeight w:val="8517"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pPr>
            <w:r>
              <w:t xml:space="preserve">22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业绩要求 </w:t>
            </w:r>
          </w:p>
        </w:tc>
        <w:tc>
          <w:tcPr>
            <w:tcW w:w="7555" w:type="dxa"/>
            <w:tcBorders>
              <w:top w:val="single" w:color="000000" w:sz="6" w:space="0"/>
              <w:left w:val="single" w:color="000000" w:sz="6" w:space="0"/>
              <w:bottom w:val="single" w:color="000000" w:sz="6" w:space="0"/>
              <w:right w:val="single" w:color="000000" w:sz="6" w:space="0"/>
            </w:tcBorders>
          </w:tcPr>
          <w:p>
            <w:pPr>
              <w:spacing w:after="248" w:line="240" w:lineRule="auto"/>
              <w:ind w:left="0" w:right="0" w:firstLine="0"/>
            </w:pPr>
            <w:r>
              <w:t xml:space="preserve">1.本招标文件中要求的业绩须为:  </w:t>
            </w:r>
          </w:p>
          <w:p>
            <w:pPr>
              <w:spacing w:after="233" w:line="240" w:lineRule="auto"/>
              <w:ind w:left="0" w:right="0" w:firstLine="0"/>
              <w:jc w:val="both"/>
            </w:pPr>
            <w:r>
              <w:t>正在履约或已完成的业绩：响应文件中须同 时提供以下业绩证明材料：</w:t>
            </w:r>
          </w:p>
          <w:p>
            <w:pPr>
              <w:spacing w:after="248" w:line="240" w:lineRule="auto"/>
              <w:ind w:left="0" w:right="0" w:firstLine="0"/>
            </w:pPr>
            <w:r>
              <w:t xml:space="preserve">（1）业绩合同扫描件； </w:t>
            </w:r>
          </w:p>
          <w:p>
            <w:pPr>
              <w:spacing w:after="0" w:line="276" w:lineRule="auto"/>
              <w:ind w:left="0" w:right="0" w:firstLine="0"/>
            </w:pPr>
            <w:r>
              <w:t xml:space="preserve">（2）与该业绩对应的项目正在履约或已完成的证明材料（如验收报告或业主（或合同甲方）证明）。 已签订合同但尚未实施的业绩不予认可。即截至投标截止时间，项目如存在目前尚未开始履约、人员进场但尚未实质性开展、处于暂停等情况的，该业绩不予认可。 注：（1）正在履约或已完成的证明材料须加盖项目业主单位或合同甲方公章(证明材料已有项目业主单位或合同甲方公章的除外)，否则评标委员会不予认可。（2）如果业绩合同和项目已完成（或正在履约）的证明材料中的合同签订时间、服务内容、合同总金额、项目负责人姓名等合同要素不一致的，以项目已完成（或正在履约）的证明材料为准。 2.如投标人提供的上述1要求的业绩证明材料均未能明确反映出招标文件所要求的内容的（如合同签订时间、服务内容、合同总金额、项目负责人姓名等），应另附业主（或合同甲方）证明材料予以明确说明，须加盖项目业主单位或合同甲方公章，否则评标委员会不予认可。 </w:t>
            </w:r>
          </w:p>
        </w:tc>
      </w:tr>
      <w:tr>
        <w:tblPrEx>
          <w:tblCellMar>
            <w:top w:w="0" w:type="dxa"/>
            <w:left w:w="108" w:type="dxa"/>
            <w:bottom w:w="59" w:type="dxa"/>
            <w:right w:w="29" w:type="dxa"/>
          </w:tblCellMar>
        </w:tblPrEx>
        <w:trPr>
          <w:trHeight w:val="7509" w:hRule="atLeast"/>
        </w:trPr>
        <w:tc>
          <w:tcPr>
            <w:tcW w:w="59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pPr>
            <w:r>
              <w:t xml:space="preserve">23 </w:t>
            </w:r>
          </w:p>
        </w:tc>
        <w:tc>
          <w:tcPr>
            <w:tcW w:w="152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4" w:right="0" w:firstLine="0"/>
            </w:pPr>
            <w:r>
              <w:t xml:space="preserve">重要提示 </w:t>
            </w:r>
          </w:p>
        </w:tc>
        <w:tc>
          <w:tcPr>
            <w:tcW w:w="7555" w:type="dxa"/>
            <w:tcBorders>
              <w:top w:val="single" w:color="000000" w:sz="6" w:space="0"/>
              <w:left w:val="single" w:color="000000" w:sz="6" w:space="0"/>
              <w:bottom w:val="single" w:color="000000" w:sz="6" w:space="0"/>
              <w:right w:val="single" w:color="000000" w:sz="6" w:space="0"/>
            </w:tcBorders>
            <w:vAlign w:val="center"/>
          </w:tcPr>
          <w:p>
            <w:pPr>
              <w:spacing w:after="239" w:line="413" w:lineRule="auto"/>
              <w:ind w:left="0" w:right="0" w:firstLine="0"/>
            </w:pPr>
            <w:r>
              <w:t xml:space="preserve">1.中标人中标之后，应当在规定的期间内与招标人签订合同，招标人拒绝签订合同的，中标人应当及时向长丰供水集团有限公司监督部门反映，以便协调处理； </w:t>
            </w:r>
          </w:p>
          <w:p>
            <w:pPr>
              <w:spacing w:after="239" w:line="413" w:lineRule="auto"/>
              <w:ind w:left="0" w:right="0" w:firstLine="0"/>
            </w:pPr>
            <w:r>
              <w:t xml:space="preserve">2.中标人中标之后，应当在规定的时间内与招标人签订合同，中标人拒绝签订合同的，招标人视为废标，扣除保证金处理； </w:t>
            </w:r>
          </w:p>
          <w:p>
            <w:pPr>
              <w:spacing w:after="224" w:line="419" w:lineRule="auto"/>
              <w:ind w:left="0" w:right="0" w:firstLine="0"/>
            </w:pPr>
            <w:r>
              <w:t>3.中标合同签订后，中标人未及时履行义务的，招标人视为废标，扣除保证金处理；</w:t>
            </w:r>
          </w:p>
          <w:p>
            <w:pPr>
              <w:spacing w:after="224" w:line="419" w:lineRule="auto"/>
              <w:ind w:left="0" w:right="0" w:firstLine="0"/>
            </w:pPr>
            <w:r>
              <w:t xml:space="preserve">4.中标合同签订后，招标人未及时履行义务影响中标人履行义务的，中标人应当及时向长丰供水集团有限公司监督部门反映，以便协调处理。 </w:t>
            </w:r>
          </w:p>
          <w:p>
            <w:pPr>
              <w:spacing w:after="0" w:line="276" w:lineRule="auto"/>
              <w:ind w:left="0" w:right="0" w:firstLine="0"/>
            </w:pPr>
            <w:r>
              <w:t xml:space="preserve">5.因电子服务系统或电子交易系统出现软件设计或功能缺陷、运行异常等情况，可能影响招投标活动公平、公正进行的，招标人（或招标代理机构）有权中止或终止招投标活动，招投标各方免责。 </w:t>
            </w:r>
          </w:p>
        </w:tc>
      </w:tr>
    </w:tbl>
    <w:p>
      <w:pPr>
        <w:spacing w:after="0" w:line="240" w:lineRule="auto"/>
        <w:ind w:left="375" w:right="0" w:firstLine="0"/>
        <w:jc w:val="both"/>
      </w:pPr>
      <w:r>
        <w:t xml:space="preserve"> </w:t>
      </w: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spacing w:after="0" w:line="240" w:lineRule="auto"/>
        <w:ind w:left="375" w:right="0" w:firstLine="0"/>
        <w:jc w:val="both"/>
      </w:pPr>
    </w:p>
    <w:p>
      <w:pPr>
        <w:pStyle w:val="2"/>
        <w:spacing w:after="731"/>
      </w:pPr>
      <w:bookmarkStart w:id="2" w:name="_Toc87528824"/>
      <w:r>
        <w:t>第三章 投标人须知</w:t>
      </w:r>
      <w:bookmarkEnd w:id="2"/>
      <w:r>
        <w:rPr>
          <w:sz w:val="24"/>
        </w:rPr>
        <w:t xml:space="preserve"> </w:t>
      </w:r>
    </w:p>
    <w:p>
      <w:pPr>
        <w:pStyle w:val="3"/>
        <w:spacing w:after="345"/>
      </w:pPr>
      <w:bookmarkStart w:id="3" w:name="_Toc87528825"/>
      <w:r>
        <w:t>一．总    则</w:t>
      </w:r>
      <w:bookmarkEnd w:id="3"/>
      <w:r>
        <w:t xml:space="preserve"> </w:t>
      </w:r>
    </w:p>
    <w:p>
      <w:pPr>
        <w:ind w:left="745"/>
      </w:pPr>
      <w:r>
        <w:t xml:space="preserve">1.适用范围 </w:t>
      </w:r>
    </w:p>
    <w:p>
      <w:pPr>
        <w:ind w:left="745"/>
      </w:pPr>
      <w:r>
        <w:t xml:space="preserve">1.1本招标文件仅适用于本次招标所述的服务项目招标。 </w:t>
      </w:r>
    </w:p>
    <w:p>
      <w:pPr>
        <w:ind w:left="745"/>
      </w:pPr>
      <w:r>
        <w:t xml:space="preserve">2.有关定义 </w:t>
      </w:r>
    </w:p>
    <w:p>
      <w:pPr>
        <w:ind w:left="745"/>
      </w:pPr>
      <w:r>
        <w:t xml:space="preserve">2.1招标人：系指本次招标项目的业主方。 </w:t>
      </w:r>
    </w:p>
    <w:p>
      <w:pPr>
        <w:spacing w:line="395" w:lineRule="auto"/>
        <w:ind w:left="172" w:firstLine="548"/>
      </w:pPr>
      <w:r>
        <w:t xml:space="preserve">2.2投标人：系指按规定获取了本招标文件，且已经提交或准备提交本次响应文件的法人或者其他组织。 </w:t>
      </w:r>
    </w:p>
    <w:p>
      <w:pPr>
        <w:spacing w:line="395" w:lineRule="auto"/>
        <w:ind w:left="172" w:firstLine="548"/>
      </w:pPr>
      <w:r>
        <w:t xml:space="preserve">2.3服务：系指除货物和工程以外的其他招标对象，包括软件开发、咨询、调研、评估、规划、设计、监理、审计、保险、租赁、印刷、维修、物业管理等。 </w:t>
      </w:r>
    </w:p>
    <w:p>
      <w:pPr>
        <w:spacing w:line="395" w:lineRule="auto"/>
        <w:ind w:left="172" w:firstLine="548"/>
      </w:pPr>
      <w:r>
        <w:t xml:space="preserve">2.4业绩：投标人与其关联公司（如母公司、分公司、全资子公司、控股子公司、同一法定代表人的公司）之间签订的合同，均不予认可。 </w:t>
      </w:r>
    </w:p>
    <w:p>
      <w:pPr>
        <w:ind w:left="745"/>
      </w:pPr>
      <w:r>
        <w:t xml:space="preserve">3.投标费用 </w:t>
      </w:r>
    </w:p>
    <w:p>
      <w:pPr>
        <w:ind w:left="745"/>
      </w:pPr>
      <w:r>
        <w:t xml:space="preserve">3.1无论投标结果如何，投标人应自行承担其编制与递交响应文件所涉及的一切费用。 </w:t>
      </w:r>
    </w:p>
    <w:p>
      <w:pPr>
        <w:ind w:left="745"/>
      </w:pPr>
      <w:r>
        <w:t xml:space="preserve">4.合格的投标人 </w:t>
      </w:r>
    </w:p>
    <w:p>
      <w:pPr>
        <w:ind w:left="716"/>
      </w:pPr>
      <w:r>
        <w:t xml:space="preserve">4.1合格的投标人应符合招标文件载明的投标资格。 </w:t>
      </w:r>
    </w:p>
    <w:p>
      <w:pPr>
        <w:ind w:left="716"/>
      </w:pPr>
      <w:r>
        <w:t xml:space="preserve">4.1.1除非招标文件认可，否则母、子公司之间的业绩、资质不得互用。 </w:t>
      </w:r>
    </w:p>
    <w:p>
      <w:pPr>
        <w:spacing w:line="389" w:lineRule="auto"/>
        <w:ind w:left="172" w:firstLine="519"/>
      </w:pPr>
      <w:r>
        <w:t>4.2与招标人存在利害关系可能影响招标公正性的法人、其他组织或个人，不得参加投标。 单位负责人为同一人或者存在控股、管理关系的不同单位，不得参加同一标段投标或</w:t>
      </w:r>
    </w:p>
    <w:p>
      <w:pPr>
        <w:spacing w:line="395" w:lineRule="auto"/>
        <w:ind w:left="691" w:right="486" w:hanging="519"/>
      </w:pPr>
      <w:r>
        <w:t xml:space="preserve">者未划分标段的同一招标项目投标。 违反前两款规定的，相关响应（投标）均无效。 </w:t>
      </w:r>
    </w:p>
    <w:p>
      <w:pPr>
        <w:ind w:left="745"/>
      </w:pPr>
      <w:r>
        <w:t xml:space="preserve">5.踏勘现场 </w:t>
      </w:r>
    </w:p>
    <w:p>
      <w:pPr>
        <w:ind w:left="745"/>
      </w:pPr>
      <w:r>
        <w:t xml:space="preserve">5.1投标人应自行对服务现场和周围环境进行踏勘，以获取编制响应文件和签署合同所需的资料。踏勘现场的方式、地址及联系方式见投标人须知前附表。 </w:t>
      </w:r>
    </w:p>
    <w:p>
      <w:pPr>
        <w:spacing w:line="391" w:lineRule="auto"/>
        <w:ind w:left="172" w:firstLine="548"/>
      </w:pPr>
      <w:r>
        <w:t xml:space="preserve">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 </w:t>
      </w:r>
    </w:p>
    <w:p>
      <w:pPr>
        <w:spacing w:line="395" w:lineRule="auto"/>
        <w:ind w:left="172" w:firstLine="548"/>
      </w:pPr>
      <w:r>
        <w:t xml:space="preserve">5.3除非有特殊要求，招标文件不单独提供服务地点的自然环境、气候条件、公用设施等情况，投标人被视为熟悉上述与履行合同有关的一切情况。 </w:t>
      </w:r>
    </w:p>
    <w:p>
      <w:pPr>
        <w:ind w:left="745"/>
      </w:pPr>
      <w:r>
        <w:t xml:space="preserve">6.知识产权 </w:t>
      </w:r>
    </w:p>
    <w:p>
      <w:pPr>
        <w:spacing w:line="389" w:lineRule="auto"/>
        <w:ind w:left="172" w:firstLine="548"/>
      </w:pPr>
      <w:r>
        <w:t xml:space="preserve">6.1投标人须保证，招标人在中华人民共和国境内使用投标货物、资料、技术、服务或其任何一部分时，享有不受限制的无偿使用权，不得设置技术屏障，妨碍后期软件的升级、替换、更新等，甲方如需要导出数据，中标方需无偿配合。不会产生因第三方提出侵犯其专利权、商标权或其它知识产权而引起的法律或经济纠纷。如投标人不拥有相应的知识产权，则在投标报价中必须包括合法获取该知识产权的一切相关费用。如因此导致招标人损失的，投标人须承担全部赔偿责任。 </w:t>
      </w:r>
    </w:p>
    <w:p>
      <w:pPr>
        <w:ind w:left="745"/>
      </w:pPr>
      <w:r>
        <w:t xml:space="preserve">7.纪律与保密 </w:t>
      </w:r>
    </w:p>
    <w:p>
      <w:pPr>
        <w:ind w:left="745"/>
      </w:pPr>
      <w:r>
        <w:t xml:space="preserve">7.1投标人的投标行为应遵守中国的有关法律、法规和规章。 </w:t>
      </w:r>
    </w:p>
    <w:p>
      <w:pPr>
        <w:ind w:left="745"/>
      </w:pPr>
      <w:r>
        <w:t>7.2投标人不得相互串通投标报价，不得排挤其他投标人的公平竞争，损害招标人或</w:t>
      </w:r>
    </w:p>
    <w:p>
      <w:pPr>
        <w:spacing w:line="387" w:lineRule="auto"/>
        <w:ind w:left="720" w:hanging="548"/>
      </w:pPr>
      <w:r>
        <w:t xml:space="preserve">者其他投标人的合法权益。  投标人不得与招标人串通投标，损害国家利益、社会公共利益或者他人的合法权益。 禁止投标人以向招标人或者招标小组成员行贿的手段谋取中标。 投标人不得以低于成本的报价竞标，也不得以他人名义投标或者以其他方式弄虚作假，骗取中标。 </w:t>
      </w:r>
    </w:p>
    <w:p>
      <w:pPr>
        <w:spacing w:line="395" w:lineRule="auto"/>
        <w:ind w:left="172" w:firstLine="548"/>
      </w:pPr>
      <w:r>
        <w:t xml:space="preserve">7.3在确定中标人之前，投标人不得与招标人就投标价格、投标方案等实质性内容进行谈判，也不得私下接触招标小组成员。 </w:t>
      </w:r>
    </w:p>
    <w:p>
      <w:pPr>
        <w:spacing w:line="395" w:lineRule="auto"/>
        <w:ind w:left="172" w:firstLine="548"/>
      </w:pPr>
      <w:r>
        <w:t xml:space="preserve">7.4在确定中标人之前，投标人试图在响应文件审查、澄清、比较和评价时对招标小组、招标人和长丰供水集团施加任何影响都可能导致其投标无效。 </w:t>
      </w:r>
    </w:p>
    <w:p>
      <w:pPr>
        <w:spacing w:line="389" w:lineRule="auto"/>
        <w:ind w:left="172" w:firstLine="548"/>
      </w:pPr>
      <w:r>
        <w:t xml:space="preserve">7.5由招标人向投标人提供的图纸、详细资料、样品、模型、模件和所有其它资料，被视为保密资料，仅被用于它所规定的用途。除非得到招标人的同意，不能向任何第三方透露。招标结束后，应招标人要求，投标人应归还所有从招标人处获得的保密资料。 </w:t>
      </w:r>
    </w:p>
    <w:p>
      <w:pPr>
        <w:ind w:left="745"/>
      </w:pPr>
      <w:r>
        <w:t xml:space="preserve">8.联合体招标 </w:t>
      </w:r>
    </w:p>
    <w:p>
      <w:pPr>
        <w:ind w:left="745"/>
      </w:pPr>
      <w:r>
        <w:t xml:space="preserve">8.1除非本项目明确要求不接受联合体形式招标外，两个以上法人（招标文件如有约定，从其约定）或者其他组织可以组成一个联合体，以一个投标人的身份共同招标。 </w:t>
      </w:r>
    </w:p>
    <w:p>
      <w:pPr>
        <w:spacing w:line="389" w:lineRule="auto"/>
        <w:ind w:left="172" w:firstLine="548"/>
      </w:pPr>
      <w:r>
        <w:t xml:space="preserve">8.2以联合体形式参加招标的，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 </w:t>
      </w:r>
    </w:p>
    <w:p>
      <w:pPr>
        <w:ind w:left="716"/>
      </w:pPr>
      <w:r>
        <w:t xml:space="preserve">9.投标专用章的效力 </w:t>
      </w:r>
    </w:p>
    <w:p>
      <w:pPr>
        <w:spacing w:line="389" w:lineRule="auto"/>
        <w:ind w:left="172" w:firstLine="519"/>
        <w:rPr>
          <w:rFonts w:eastAsiaTheme="minorEastAsia"/>
        </w:rPr>
      </w:pPr>
      <w:r>
        <w:t xml:space="preserve">9.1招标文件中明确要求加盖公章（或电子签章）的，投标人必须加盖投标人公章（或电子签章）。在有授权文件(原件或原件的扫描件)表明投标专用章法律效力等同于投标人公章（或电子签章）的情况下，可以加盖投标专用章，否则将导致投标无效。 </w:t>
      </w:r>
    </w:p>
    <w:p>
      <w:pPr>
        <w:ind w:left="745"/>
      </w:pPr>
      <w:r>
        <w:t xml:space="preserve">10.合同标的转让 </w:t>
      </w:r>
    </w:p>
    <w:p>
      <w:pPr>
        <w:spacing w:line="395" w:lineRule="auto"/>
        <w:ind w:left="172" w:firstLine="519"/>
      </w:pPr>
      <w:r>
        <w:t xml:space="preserve">10.1合同未约定或者未经招标人同意，中标人不得向他人转让中标项目，也不得将中标项目肢解后分别向他人转让。  </w:t>
      </w:r>
    </w:p>
    <w:p>
      <w:pPr>
        <w:spacing w:line="391" w:lineRule="auto"/>
        <w:ind w:left="172" w:firstLine="519"/>
      </w:pPr>
      <w:r>
        <w:t xml:space="preserve">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 </w:t>
      </w:r>
    </w:p>
    <w:p>
      <w:pPr>
        <w:ind w:left="716"/>
      </w:pPr>
      <w:r>
        <w:t xml:space="preserve">10.3中标人应当就分包项目向招标人负责，接受分包的人就分包项目承担连带责任。 </w:t>
      </w:r>
    </w:p>
    <w:p>
      <w:pPr>
        <w:ind w:left="745"/>
      </w:pPr>
      <w:r>
        <w:t xml:space="preserve">11.招标信息的发布 </w:t>
      </w:r>
    </w:p>
    <w:p>
      <w:pPr>
        <w:ind w:left="745"/>
      </w:pPr>
      <w:r>
        <w:t>11.1 与本次招标活动相关的信息，将在</w:t>
      </w:r>
      <w:r>
        <w:rPr>
          <w:rFonts w:hint="eastAsia" w:eastAsiaTheme="minorEastAsia"/>
        </w:rPr>
        <w:t xml:space="preserve"> </w:t>
      </w:r>
      <w:r>
        <w:rPr>
          <w:rFonts w:eastAsiaTheme="minorEastAsia"/>
          <w:u w:val="single"/>
        </w:rPr>
        <w:t xml:space="preserve">  长丰供水集团有限公司网站    </w:t>
      </w:r>
      <w:r>
        <w:rPr>
          <w:rFonts w:eastAsiaTheme="minorEastAsia"/>
        </w:rPr>
        <w:t xml:space="preserve"> </w:t>
      </w:r>
      <w:r>
        <w:t xml:space="preserve">发布。 </w:t>
      </w:r>
    </w:p>
    <w:p>
      <w:pPr>
        <w:ind w:left="745"/>
      </w:pPr>
    </w:p>
    <w:p>
      <w:pPr>
        <w:pStyle w:val="3"/>
        <w:spacing w:after="345"/>
      </w:pPr>
      <w:bookmarkStart w:id="4" w:name="_Toc87528826"/>
      <w:r>
        <w:t>二．</w:t>
      </w:r>
      <w:r>
        <w:rPr>
          <w:rFonts w:hint="eastAsia" w:ascii="微软雅黑" w:hAnsi="微软雅黑" w:eastAsia="微软雅黑" w:cs="微软雅黑"/>
        </w:rPr>
        <w:t>招标</w:t>
      </w:r>
      <w:r>
        <w:t>文件</w:t>
      </w:r>
      <w:bookmarkEnd w:id="4"/>
      <w:r>
        <w:t xml:space="preserve"> </w:t>
      </w:r>
    </w:p>
    <w:p>
      <w:pPr>
        <w:ind w:left="745"/>
      </w:pPr>
      <w:r>
        <w:t xml:space="preserve">12.招标文件构成 </w:t>
      </w:r>
    </w:p>
    <w:p>
      <w:pPr>
        <w:ind w:left="745"/>
      </w:pPr>
      <w:r>
        <w:t xml:space="preserve">12.1招标文件包括以下部分： </w:t>
      </w:r>
    </w:p>
    <w:p>
      <w:pPr>
        <w:ind w:left="716"/>
      </w:pPr>
      <w:r>
        <w:t xml:space="preserve">12.1.1          第一章：招标邀请（招标公告）； </w:t>
      </w:r>
    </w:p>
    <w:p>
      <w:pPr>
        <w:ind w:left="716"/>
      </w:pPr>
      <w:r>
        <w:t xml:space="preserve">12.1.2          第二章：投标人须知前附表； </w:t>
      </w:r>
    </w:p>
    <w:p>
      <w:pPr>
        <w:ind w:left="716"/>
      </w:pPr>
      <w:r>
        <w:t xml:space="preserve">12.1.3          第三章：投标人须知； </w:t>
      </w:r>
    </w:p>
    <w:p>
      <w:pPr>
        <w:ind w:left="716"/>
      </w:pPr>
      <w:r>
        <w:t xml:space="preserve">12.1.4          第四章：招标需求； </w:t>
      </w:r>
    </w:p>
    <w:p>
      <w:pPr>
        <w:ind w:left="716"/>
      </w:pPr>
      <w:r>
        <w:t xml:space="preserve">12.1.5          第五章：招标与评审办法； </w:t>
      </w:r>
    </w:p>
    <w:p>
      <w:pPr>
        <w:ind w:left="716"/>
      </w:pPr>
      <w:r>
        <w:t xml:space="preserve">12.1.6          第六章：合同； </w:t>
      </w:r>
    </w:p>
    <w:p>
      <w:pPr>
        <w:ind w:left="716"/>
      </w:pPr>
      <w:r>
        <w:t xml:space="preserve">12.1.7          第七章：响应文件格式； </w:t>
      </w:r>
    </w:p>
    <w:p>
      <w:pPr>
        <w:ind w:left="745"/>
      </w:pPr>
      <w:r>
        <w:t xml:space="preserve">12.2 投标人应认真阅读招标文件中所有的事项、格式、条件、条款和规范等要求。 </w:t>
      </w:r>
    </w:p>
    <w:p>
      <w:pPr>
        <w:spacing w:line="383" w:lineRule="auto"/>
        <w:ind w:left="172" w:firstLine="548"/>
      </w:pPr>
      <w:r>
        <w:t xml:space="preserve">12.3投标人应当按照招标文件的要求编制响应文件。响应文件应对招标文件提出的要求和条件作出实质性响应。 </w:t>
      </w:r>
    </w:p>
    <w:p>
      <w:pPr>
        <w:spacing w:line="383" w:lineRule="auto"/>
        <w:ind w:left="172" w:firstLine="548"/>
      </w:pPr>
      <w:r>
        <w:t xml:space="preserve">12.4投标人获取招标文件后，应仔细检查招标文件的所有内容，如有残缺等问题应在获得招标文件3日内向长丰供水集团提出，否则，由此引起的损失由投标人自行承担。 </w:t>
      </w:r>
    </w:p>
    <w:p>
      <w:pPr>
        <w:ind w:left="745"/>
      </w:pPr>
      <w:r>
        <w:t xml:space="preserve">13.答疑及招标文件的澄清与修改 </w:t>
      </w:r>
    </w:p>
    <w:p>
      <w:pPr>
        <w:spacing w:line="389" w:lineRule="auto"/>
        <w:ind w:left="172" w:firstLine="548"/>
      </w:pPr>
      <w:r>
        <w:t>13.1投标人如果对招标文件、工程量清单、最高投标限价（招标控制价）及相关附件等招标文件的其他任何内容有相关疑问，可以于投标人须知前附表列明的答疑接受时间前，通过传真来函向长丰供水集团有限公司提出，传真后需向项目联系人确认。（来函传真需标明项目名称</w:t>
      </w:r>
      <w:r>
        <w:rPr>
          <w:rFonts w:hint="eastAsia" w:eastAsiaTheme="minorEastAsia"/>
        </w:rPr>
        <w:t xml:space="preserve">  </w:t>
      </w:r>
      <w:r>
        <w:t>传真：</w:t>
      </w:r>
      <w:r>
        <w:rPr>
          <w:rFonts w:hint="eastAsia" w:eastAsiaTheme="minorEastAsia"/>
        </w:rPr>
        <w:t>0</w:t>
      </w:r>
      <w:r>
        <w:rPr>
          <w:rFonts w:eastAsiaTheme="minorEastAsia"/>
        </w:rPr>
        <w:t>551-66671460</w:t>
      </w:r>
      <w:r>
        <w:t>）</w:t>
      </w:r>
    </w:p>
    <w:p>
      <w:pPr>
        <w:ind w:left="745"/>
      </w:pPr>
      <w:r>
        <w:t>13.2如招标文件存在不一致时，优先顺序如下：（1）招标公告；（2）投标人须知前附</w:t>
      </w:r>
    </w:p>
    <w:p>
      <w:r>
        <w:t xml:space="preserve">表；（3）招标需求；（4）招标与评审办法；（5）其他。 </w:t>
      </w:r>
    </w:p>
    <w:p>
      <w:pPr>
        <w:spacing w:line="387" w:lineRule="auto"/>
        <w:ind w:left="172" w:firstLine="548"/>
      </w:pPr>
      <w:r>
        <w:t>13.3</w:t>
      </w:r>
      <w:r>
        <w:rPr>
          <w:rFonts w:hint="eastAsia" w:eastAsiaTheme="minorEastAsia"/>
        </w:rPr>
        <w:t xml:space="preserve"> </w:t>
      </w:r>
      <w:r>
        <w:rPr>
          <w:rFonts w:eastAsiaTheme="minorEastAsia"/>
        </w:rPr>
        <w:t xml:space="preserve"> </w:t>
      </w:r>
      <w:r>
        <w:rPr>
          <w:rFonts w:eastAsiaTheme="minorEastAsia"/>
          <w:u w:val="single"/>
        </w:rPr>
        <w:t xml:space="preserve">  长丰供水集团工程管理服务部  </w:t>
      </w:r>
      <w:r>
        <w:rPr>
          <w:rFonts w:eastAsiaTheme="minorEastAsia"/>
        </w:rPr>
        <w:t>具体</w:t>
      </w:r>
      <w:r>
        <w:t xml:space="preserve">对招标文件进行的答疑、澄清、变更或补充，将在网站上及时发布，该公告内容为招标文件的组成部分，对投标人具有同样约束力效力。当招标文件、招标文件的答疑、澄清、变更或补充等在同一内容的表述上不一致时，以最后发出的文件（公告）为准。投标人应主动上网查询。长丰供水集团不承担投标人未及时关注相关信息引发的相关责任， 上述澄清、更正或更改在网站上发布。 </w:t>
      </w:r>
    </w:p>
    <w:p>
      <w:pPr>
        <w:spacing w:after="604" w:line="387" w:lineRule="auto"/>
        <w:ind w:left="172" w:firstLine="548"/>
      </w:pPr>
      <w:r>
        <w:t xml:space="preserve">13.5在响应文件提交截止时间前，长丰供水集团可以视招标具体情况，延长响应文件提交截止时间和招标时间，并及时在网站上发布变更（延期）公告。在上述情况下，长丰供水集团和投标人在响应文件提交截止期方面的全部权力、责任和义务，将适用于延长后新的响应文件提交截止期。 </w:t>
      </w:r>
    </w:p>
    <w:p>
      <w:pPr>
        <w:pStyle w:val="3"/>
        <w:spacing w:after="345"/>
      </w:pPr>
      <w:bookmarkStart w:id="5" w:name="_Toc87528827"/>
      <w:r>
        <w:t>三．响应文件的编制</w:t>
      </w:r>
      <w:bookmarkEnd w:id="5"/>
      <w:r>
        <w:t xml:space="preserve"> </w:t>
      </w:r>
    </w:p>
    <w:p>
      <w:pPr>
        <w:ind w:left="745"/>
      </w:pPr>
      <w:r>
        <w:t xml:space="preserve">14.响应文件构成与要求 </w:t>
      </w:r>
    </w:p>
    <w:p>
      <w:pPr>
        <w:ind w:left="745"/>
      </w:pPr>
      <w:r>
        <w:t xml:space="preserve">14.1响应文件是对招标文件的实质性响应及承诺文件。 </w:t>
      </w:r>
    </w:p>
    <w:p>
      <w:pPr>
        <w:spacing w:after="211"/>
        <w:ind w:left="10"/>
        <w:jc w:val="center"/>
      </w:pPr>
      <w:r>
        <w:t xml:space="preserve">14.2除非注明“投标人可自行制作格式”，响应文件应使用招标文件提供的格式。 </w:t>
      </w:r>
    </w:p>
    <w:p>
      <w:pPr>
        <w:spacing w:line="389" w:lineRule="auto"/>
        <w:ind w:left="172" w:firstLine="548"/>
      </w:pPr>
      <w:r>
        <w:t xml:space="preserve">14.3除专用术语外，响应文件以及投标人与招标人就有关招标的往来函电均应使用中文。投标人提交的支持性文件和印制的文件可以用另一种语言，但相应内容应翻译成中文，对不同文字文本响应文件的解释发生异议的，以中文文本为准。 </w:t>
      </w:r>
    </w:p>
    <w:p>
      <w:pPr>
        <w:spacing w:after="211"/>
        <w:ind w:left="10"/>
        <w:jc w:val="center"/>
      </w:pPr>
      <w:r>
        <w:t xml:space="preserve">14.4除非招标文件另有规定，响应文件应使用中华人民共和国法定计量单位。 </w:t>
      </w:r>
    </w:p>
    <w:p>
      <w:pPr>
        <w:spacing w:line="389" w:lineRule="auto"/>
        <w:ind w:left="172" w:firstLine="548"/>
      </w:pPr>
      <w:r>
        <w:t xml:space="preserve">14.5除非招标文件另有规定，响应文件应使用人民币填报所有报价。允许以多种货币报价的，或涉及合同金额等计算的，均按照中国银行在招标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 </w:t>
      </w:r>
    </w:p>
    <w:p>
      <w:pPr>
        <w:spacing w:after="0" w:line="377" w:lineRule="auto"/>
        <w:ind w:left="172" w:right="132" w:firstLine="548"/>
        <w:jc w:val="both"/>
      </w:pPr>
      <w:r>
        <w:t xml:space="preserve">14.6投标人提供的资质证书（或资格证明、认证证书等）处于年检、换证、升级、变更等期间，除非法律法规或发证机构有书面材料明确表明投标人资质（或资格)有效，否则一律不予认可。 </w:t>
      </w:r>
    </w:p>
    <w:p>
      <w:pPr>
        <w:ind w:left="745"/>
      </w:pPr>
      <w:r>
        <w:t xml:space="preserve">14.7电报、电话、传真形式的响应（投标）概不接受。 </w:t>
      </w:r>
    </w:p>
    <w:p>
      <w:pPr>
        <w:ind w:left="745"/>
      </w:pPr>
      <w:r>
        <w:t xml:space="preserve">14.8除非招标文件另有规定，长丰供水集团一律不予退还投标人的响应文件。 </w:t>
      </w:r>
    </w:p>
    <w:p>
      <w:pPr>
        <w:spacing w:line="383" w:lineRule="auto"/>
        <w:ind w:left="172" w:firstLine="519"/>
      </w:pPr>
      <w:r>
        <w:t xml:space="preserve">14.9 本招标文件所要求的证书、认证、资质，均应当是有权威机构颁发，且在有效期内的。 </w:t>
      </w:r>
    </w:p>
    <w:p>
      <w:pPr>
        <w:ind w:left="745"/>
      </w:pPr>
      <w:r>
        <w:t xml:space="preserve">15.报价 </w:t>
      </w:r>
    </w:p>
    <w:p>
      <w:pPr>
        <w:spacing w:after="197" w:line="377" w:lineRule="auto"/>
        <w:ind w:left="172" w:right="132" w:firstLine="548"/>
        <w:jc w:val="both"/>
      </w:pPr>
      <w:r>
        <w:t xml:space="preserve">15.1投标人应以“标段”为报价的基本单位。若整个需求分为若干标段，则投标人可选择其中的部分或所有标段报价。标段内所有项目均应报价（免费赠送的除外），否则将导致投标无效。 </w:t>
      </w:r>
    </w:p>
    <w:p>
      <w:pPr>
        <w:spacing w:line="383" w:lineRule="auto"/>
        <w:ind w:left="172" w:firstLine="548"/>
      </w:pPr>
      <w:r>
        <w:t xml:space="preserve">15.2投标人的报价应包含所投服务、保险、税费、验收和交付后约定期限内免费服务等工作所发生的一切应有费用。最后报价为签订合同的依据。 </w:t>
      </w:r>
    </w:p>
    <w:p>
      <w:pPr>
        <w:spacing w:line="383" w:lineRule="auto"/>
        <w:ind w:left="172" w:firstLine="548"/>
      </w:pPr>
      <w:r>
        <w:t xml:space="preserve">15.3报价应当低于同类货物和服务的市场平均价格。除非招标文件另有规定，最后报价均不得高于招标文件（公告）列明的最高投标限价（招标控制价）、项目概算。 </w:t>
      </w:r>
    </w:p>
    <w:p>
      <w:pPr>
        <w:spacing w:line="383" w:lineRule="auto"/>
        <w:ind w:left="172" w:firstLine="548"/>
      </w:pPr>
      <w:r>
        <w:t xml:space="preserve">15.4除非招标文件另有规定，每一标段只允许有一个最终报价，任何有选择的报价或替代方案将导致投标无效。 </w:t>
      </w:r>
    </w:p>
    <w:p>
      <w:pPr>
        <w:spacing w:line="383" w:lineRule="auto"/>
        <w:ind w:left="172" w:firstLine="548"/>
      </w:pPr>
      <w:r>
        <w:t xml:space="preserve">15.5 除政策性文件规定或招标文件要求的之外，投标人所报最后报价在合同实施期间不因市场变化因素而变动。 </w:t>
      </w:r>
    </w:p>
    <w:p>
      <w:pPr>
        <w:ind w:left="745"/>
      </w:pPr>
      <w:r>
        <w:t xml:space="preserve">16.投标内容填写及说明 </w:t>
      </w:r>
    </w:p>
    <w:p>
      <w:pPr>
        <w:spacing w:line="389" w:lineRule="auto"/>
        <w:ind w:left="172" w:firstLine="548"/>
      </w:pPr>
      <w:r>
        <w:t xml:space="preserve">16.1响应文件须对招标文件载明的全部初审要求（如投标资格、技术、资信、服务、报价等），做出实质性和完整的响应，如果响应文件填报的内容资料不详，或没有提供招标文件中所要求的资料、证明及数据，将可能导致投标无效。 </w:t>
      </w:r>
    </w:p>
    <w:p>
      <w:pPr>
        <w:spacing w:line="383" w:lineRule="auto"/>
        <w:ind w:left="172" w:firstLine="548"/>
      </w:pPr>
      <w:r>
        <w:t xml:space="preserve">16.2投标人应在响应文件中提交招标文件要求的有关证明文件，作为其响应文件的一部分。 </w:t>
      </w:r>
    </w:p>
    <w:p>
      <w:pPr>
        <w:spacing w:line="389" w:lineRule="auto"/>
        <w:ind w:left="172" w:firstLine="548"/>
      </w:pPr>
      <w:r>
        <w:t xml:space="preserve">16.3投标人应在招标文件中提交招标文件要求的所有服务的合格性以及符合招标文件规定的证明文件（可以是手册、图纸和资料）等，并作为其响应文件的一部分。包括服务主要内容的详细描述等。 </w:t>
      </w:r>
    </w:p>
    <w:p>
      <w:pPr>
        <w:spacing w:line="395" w:lineRule="auto"/>
        <w:ind w:left="172" w:firstLine="548"/>
      </w:pPr>
      <w:r>
        <w:t xml:space="preserve">16.4响应文件应字迹清楚、编排有序、内容齐全、不得涂改或增删。如有错漏处必须修改，应在修改处加盖投标人公章（或电子签章）。 </w:t>
      </w:r>
    </w:p>
    <w:p>
      <w:pPr>
        <w:spacing w:line="395" w:lineRule="auto"/>
        <w:ind w:left="172" w:firstLine="548"/>
      </w:pPr>
      <w:r>
        <w:t xml:space="preserve">16.5投标人应根据其响应文件中报价表（第一次报价表）的内容填写唱标信息，唱标信息不作为评审的依据。 </w:t>
      </w:r>
    </w:p>
    <w:p>
      <w:pPr>
        <w:ind w:left="745"/>
      </w:pPr>
      <w:r>
        <w:t xml:space="preserve">17.投标有效期 </w:t>
      </w:r>
    </w:p>
    <w:p>
      <w:pPr>
        <w:spacing w:line="395" w:lineRule="auto"/>
        <w:ind w:left="172" w:firstLine="548"/>
      </w:pPr>
      <w:r>
        <w:t xml:space="preserve">17.1为保证招标人有足够的时间完成评标和与中标人签订合同，规定投标有效期。投标有效期期限见投标人须知前附表。 </w:t>
      </w:r>
    </w:p>
    <w:p>
      <w:pPr>
        <w:ind w:left="745"/>
      </w:pPr>
      <w:r>
        <w:t>17.2在投标有效期内，投标人的投标保持有效，投标人不得要求撤销或修改其响应文</w:t>
      </w:r>
    </w:p>
    <w:p>
      <w:r>
        <w:t xml:space="preserve">件。 </w:t>
      </w:r>
    </w:p>
    <w:p>
      <w:pPr>
        <w:ind w:left="745"/>
      </w:pPr>
      <w:r>
        <w:t xml:space="preserve">17.3投标有效期从投标截止日起计算。 </w:t>
      </w:r>
    </w:p>
    <w:p>
      <w:pPr>
        <w:spacing w:line="383" w:lineRule="auto"/>
        <w:ind w:left="172" w:firstLine="548"/>
      </w:pPr>
      <w:r>
        <w:t xml:space="preserve">17.4在原定投标有效期满之前，如果出现特殊情况，长丰供水集团可以书面形式提出延长投标有效期的要求。投标人以书面形式予以答复，投标人可以拒绝这种要求而不被没收招标保证金。同意延长投标有效期的投标人不允许修改其响应文件的实质性内容，且需要相应地延长招标保证金的有效期。 </w:t>
      </w:r>
    </w:p>
    <w:p>
      <w:pPr>
        <w:ind w:left="745"/>
      </w:pPr>
      <w:r>
        <w:t xml:space="preserve">18.响应文件份数和签署 </w:t>
      </w:r>
    </w:p>
    <w:p>
      <w:pPr>
        <w:spacing w:after="0" w:line="240" w:lineRule="auto"/>
        <w:ind w:left="673"/>
        <w:rPr>
          <w:rFonts w:eastAsiaTheme="minorEastAsia"/>
        </w:rPr>
      </w:pPr>
      <w:r>
        <w:t>18.1 投标人应按照投标人须知前附表的要求准备响应文件。</w:t>
      </w:r>
    </w:p>
    <w:p>
      <w:pPr>
        <w:spacing w:after="0" w:line="240" w:lineRule="auto"/>
        <w:ind w:left="673"/>
      </w:pPr>
      <w:r>
        <w:t xml:space="preserve"> 18.2响应文件应按招标文件要求加盖投标人公章或电子签章。 </w:t>
      </w:r>
    </w:p>
    <w:p>
      <w:pPr>
        <w:spacing w:after="0" w:line="240" w:lineRule="auto"/>
        <w:ind w:left="673"/>
      </w:pPr>
    </w:p>
    <w:p>
      <w:pPr>
        <w:spacing w:after="0" w:line="240" w:lineRule="auto"/>
        <w:ind w:left="673"/>
      </w:pPr>
    </w:p>
    <w:p>
      <w:pPr>
        <w:spacing w:after="0" w:line="240" w:lineRule="auto"/>
        <w:ind w:left="673"/>
      </w:pPr>
    </w:p>
    <w:p>
      <w:pPr>
        <w:pStyle w:val="3"/>
        <w:spacing w:after="503"/>
      </w:pPr>
      <w:bookmarkStart w:id="6" w:name="_Toc87528828"/>
      <w:r>
        <w:t>四．响应文件的递交</w:t>
      </w:r>
      <w:bookmarkEnd w:id="6"/>
      <w:r>
        <w:t xml:space="preserve"> </w:t>
      </w:r>
    </w:p>
    <w:p>
      <w:pPr>
        <w:ind w:left="745"/>
      </w:pPr>
      <w:r>
        <w:t xml:space="preserve">19.响应文件的递交 </w:t>
      </w:r>
    </w:p>
    <w:p>
      <w:pPr>
        <w:spacing w:line="383" w:lineRule="auto"/>
        <w:ind w:left="172" w:firstLine="548"/>
      </w:pPr>
      <w:r>
        <w:t xml:space="preserve">19.1投标人应当在招标文件规定的响应文件提交截止时间前提交响应文件。 </w:t>
      </w:r>
    </w:p>
    <w:p>
      <w:pPr>
        <w:ind w:left="745"/>
      </w:pPr>
      <w:r>
        <w:t xml:space="preserve">19.2逾期送达的响应文件，招标人将视为无效文件。 </w:t>
      </w:r>
    </w:p>
    <w:p>
      <w:pPr>
        <w:ind w:left="745"/>
      </w:pPr>
      <w:r>
        <w:t xml:space="preserve">20.响应文件的修改和撤回 </w:t>
      </w:r>
    </w:p>
    <w:p>
      <w:pPr>
        <w:spacing w:line="389" w:lineRule="auto"/>
        <w:ind w:left="172" w:firstLine="548"/>
      </w:pPr>
      <w:r>
        <w:t xml:space="preserve">20.1 投标人在递交响应文件后，可以修改或撤回其投标，但这种修改和撤回，必须在规定的响应文件提交截止时间前，并以书面形式通知长丰供水集团工程管理服务部。在响应文件提交截止时间后，投标人不得再要求修改或撤回其响应文件。 </w:t>
      </w:r>
    </w:p>
    <w:p>
      <w:pPr>
        <w:spacing w:after="477" w:line="354" w:lineRule="auto"/>
        <w:ind w:left="172" w:firstLine="548"/>
      </w:pPr>
      <w:r>
        <w:t>20.2 投标人的修改书或撤回通知书，应按规定进行编制、密封、标记和递交，且在内层信封上标明“修改”或“撤回”字样。</w:t>
      </w:r>
      <w:r>
        <w:rPr>
          <w:sz w:val="27"/>
        </w:rPr>
        <w:t xml:space="preserve"> </w:t>
      </w:r>
    </w:p>
    <w:p>
      <w:pPr>
        <w:pStyle w:val="3"/>
        <w:spacing w:after="503"/>
        <w:rPr>
          <w:rFonts w:asciiTheme="majorEastAsia" w:hAnsiTheme="majorEastAsia" w:eastAsiaTheme="majorEastAsia"/>
        </w:rPr>
      </w:pPr>
      <w:bookmarkStart w:id="7" w:name="_Toc87528829"/>
      <w:r>
        <w:t>五．</w:t>
      </w:r>
      <w:r>
        <w:rPr>
          <w:rFonts w:asciiTheme="majorEastAsia" w:hAnsiTheme="majorEastAsia" w:eastAsiaTheme="majorEastAsia"/>
        </w:rPr>
        <w:t>响应文件解密及</w:t>
      </w:r>
      <w:r>
        <w:rPr>
          <w:rFonts w:hint="eastAsia" w:cs="微软雅黑" w:asciiTheme="majorEastAsia" w:hAnsiTheme="majorEastAsia" w:eastAsiaTheme="majorEastAsia"/>
        </w:rPr>
        <w:t>招标</w:t>
      </w:r>
      <w:bookmarkEnd w:id="7"/>
      <w:r>
        <w:rPr>
          <w:rFonts w:asciiTheme="majorEastAsia" w:hAnsiTheme="majorEastAsia" w:eastAsiaTheme="majorEastAsia"/>
        </w:rPr>
        <w:t xml:space="preserve"> </w:t>
      </w:r>
    </w:p>
    <w:p>
      <w:pPr>
        <w:ind w:left="745"/>
      </w:pPr>
      <w:r>
        <w:t xml:space="preserve">21.响应文件解密及招标 </w:t>
      </w:r>
    </w:p>
    <w:p>
      <w:pPr>
        <w:ind w:left="745"/>
      </w:pPr>
      <w:r>
        <w:t xml:space="preserve">21.1如投标人现场解密的，建议投标人代表携带数字证书（CA锁）（牢记解锁密码）。 </w:t>
      </w:r>
    </w:p>
    <w:p>
      <w:pPr>
        <w:spacing w:line="395" w:lineRule="auto"/>
        <w:ind w:left="172" w:firstLine="548"/>
      </w:pPr>
      <w:r>
        <w:t xml:space="preserve">21.2参加招标的各投标人应在规定时间内（一般为30分钟）对本单位的响应文件进行解密，长丰供水集团在监督员或公证员监督下解密所有响应文件。 </w:t>
      </w:r>
    </w:p>
    <w:p>
      <w:pPr>
        <w:ind w:left="745"/>
      </w:pPr>
      <w:r>
        <w:t xml:space="preserve">22.响应文件的澄清、说明或补正 </w:t>
      </w:r>
    </w:p>
    <w:p>
      <w:pPr>
        <w:spacing w:after="0" w:line="389" w:lineRule="auto"/>
        <w:ind w:left="172" w:firstLine="548"/>
      </w:pPr>
      <w:r>
        <w:t xml:space="preserve">22.1为有助于投标的审查、评价和比较，招标小组可要求投标人对响应文件中含义不明确、对同类问题表述不一致或者有明显文字和计算错误的内容作必要的澄清、说明或补正。澄清、说明或补正不得超出响应文件的范围或改变响应文件的实质性内容。 </w:t>
      </w:r>
    </w:p>
    <w:p>
      <w:pPr>
        <w:spacing w:line="383" w:lineRule="auto"/>
        <w:ind w:left="172" w:firstLine="548"/>
        <w:rPr>
          <w:rFonts w:eastAsiaTheme="minorEastAsia"/>
        </w:rPr>
      </w:pPr>
      <w:r>
        <w:t xml:space="preserve">22.2响应文件中大写金额和小写金额不一致的，以大写金额为准。报价表(一次报价) 内容与唱标信息内容不一致的，以报价表为准。唱标信息不作为评审依据。 </w:t>
      </w:r>
    </w:p>
    <w:p>
      <w:pPr>
        <w:ind w:left="745"/>
      </w:pPr>
      <w:r>
        <w:t xml:space="preserve">23.评标 </w:t>
      </w:r>
    </w:p>
    <w:p>
      <w:pPr>
        <w:ind w:left="716"/>
      </w:pPr>
      <w:r>
        <w:t xml:space="preserve">23.1招标小组将按照招标文件规定的招标与评审办法对投标人独立进行评审。 </w:t>
      </w:r>
    </w:p>
    <w:p>
      <w:pPr>
        <w:spacing w:line="389" w:lineRule="auto"/>
        <w:ind w:left="172" w:firstLine="548"/>
      </w:pPr>
      <w:r>
        <w:t>23.2评审过程中，如有询标，招标小组可通过</w:t>
      </w:r>
      <w:r>
        <w:rPr>
          <w:rFonts w:hint="eastAsia" w:eastAsiaTheme="minorEastAsia"/>
        </w:rPr>
        <w:t>电话或</w:t>
      </w:r>
      <w:r>
        <w:t xml:space="preserve">网络发起远程网上询标，也可现场询标[如现场询标，投标人授权代表（或法定代表人）应携带本人有效身份证明（包括居民身份证、社保卡、军官证、驾驶证或护照）原件参加询标并签字]。因投标人授权代表联系不上、没有及时登录系统等情形而无法接受招标小组询标的，有关风险投标人自行承担。 </w:t>
      </w:r>
    </w:p>
    <w:p>
      <w:pPr>
        <w:spacing w:line="390" w:lineRule="auto"/>
        <w:ind w:left="172" w:firstLine="548"/>
      </w:pPr>
      <w:r>
        <w:t xml:space="preserve">23.3招标小组将首先审查响应文件是否实质上响应招标文件的评审指标要求。实质上响应的投标应与招标文件的全部条款、条件和规格相符，没有重大偏离或保留。所谓重大偏离或保留是指影响合同的供货或服务范围、质量和性能等；或者在实质上与招标文件不一致，而且限制了合同中买方的权利或投标人的义务；这些偏离或保留将会对其他实质上响应要求的投标人的竞争地位产生不公正的影响。 有下列情形之一的，招标小组应当否决其投标： </w:t>
      </w:r>
    </w:p>
    <w:p>
      <w:pPr>
        <w:ind w:left="745"/>
      </w:pPr>
      <w:r>
        <w:t xml:space="preserve">23.3.1响应文件未经投标单位盖章和单位负责人签字； </w:t>
      </w:r>
    </w:p>
    <w:p>
      <w:pPr>
        <w:ind w:left="745"/>
      </w:pPr>
      <w:r>
        <w:t xml:space="preserve">23.3.2招标联合体没有提交共同招标协议（联合体协议）； </w:t>
      </w:r>
    </w:p>
    <w:p>
      <w:pPr>
        <w:ind w:left="745"/>
      </w:pPr>
      <w:r>
        <w:t xml:space="preserve">23.3.3投标人不符合国家或者招标文件规定的资格条件； </w:t>
      </w:r>
    </w:p>
    <w:p>
      <w:pPr>
        <w:spacing w:line="383" w:lineRule="auto"/>
        <w:ind w:left="172" w:firstLine="548"/>
      </w:pPr>
      <w:r>
        <w:t xml:space="preserve">23.3.4同一投标人提交两个以上不同的响应文件，但招标文件要求提交备选投标的除外； </w:t>
      </w:r>
    </w:p>
    <w:p>
      <w:pPr>
        <w:ind w:left="745"/>
      </w:pPr>
      <w:r>
        <w:t xml:space="preserve">23.3.5最后报价低于成本或者高于招标文件设定的最高投标限价； </w:t>
      </w:r>
    </w:p>
    <w:p>
      <w:pPr>
        <w:ind w:left="745"/>
      </w:pPr>
      <w:r>
        <w:t xml:space="preserve">23.3.6响应文件没有对招标文件的实质性要求和条件作出响应； </w:t>
      </w:r>
    </w:p>
    <w:p>
      <w:pPr>
        <w:ind w:left="745"/>
      </w:pPr>
      <w:r>
        <w:t xml:space="preserve">23.3.7投标人有串通投标、弄虚作假、行贿等违法行为。 </w:t>
      </w:r>
    </w:p>
    <w:p>
      <w:pPr>
        <w:ind w:left="745"/>
      </w:pPr>
      <w:r>
        <w:t xml:space="preserve">23.4评审时，招标小组将审查响应文件是否符合招标文件的评审指标要求。 </w:t>
      </w:r>
    </w:p>
    <w:p>
      <w:pPr>
        <w:ind w:left="745"/>
      </w:pPr>
      <w:r>
        <w:t xml:space="preserve">23.5如果响应文件未通过投标有效性评审的，投标无效。 </w:t>
      </w:r>
    </w:p>
    <w:p>
      <w:pPr>
        <w:ind w:left="745"/>
      </w:pPr>
      <w:r>
        <w:t>23.6除非招标文件另有规定，招标小组决定响应文件的响应性及符合性只根据响应文</w:t>
      </w:r>
    </w:p>
    <w:p>
      <w:r>
        <w:t xml:space="preserve">件本身的内容，而不寻求其他外部证据。 </w:t>
      </w:r>
    </w:p>
    <w:p>
      <w:pPr>
        <w:spacing w:line="395" w:lineRule="auto"/>
        <w:ind w:left="331" w:firstLine="476"/>
      </w:pPr>
      <w:r>
        <w:t xml:space="preserve">23.7在招标过程中提交响应文件或者经评审实质性响应招标文件要求的投标人只有两家时，经资金支付单位批准后，竞争性招标采购活动可以继续进行。 </w:t>
      </w:r>
    </w:p>
    <w:p>
      <w:pPr>
        <w:spacing w:after="0" w:line="240" w:lineRule="auto"/>
        <w:ind w:left="735" w:right="0" w:firstLine="0"/>
      </w:pPr>
      <w:r>
        <w:t xml:space="preserve"> 24.流标处理 </w:t>
      </w:r>
    </w:p>
    <w:p>
      <w:pPr>
        <w:spacing w:line="395" w:lineRule="auto"/>
        <w:ind w:left="172" w:firstLine="548"/>
      </w:pPr>
      <w:r>
        <w:t xml:space="preserve">在招标中，符合专业条件的投标人或对招标文件作实质响应的投标人不足规定家数的，招标小组有权对招标项目作流标处理。流标后，流标原因将在网上公示。 </w:t>
      </w:r>
    </w:p>
    <w:p>
      <w:pPr>
        <w:ind w:left="673"/>
      </w:pPr>
      <w:r>
        <w:t xml:space="preserve">25.重新招标 </w:t>
      </w:r>
    </w:p>
    <w:p>
      <w:pPr>
        <w:ind w:left="673"/>
      </w:pPr>
      <w:r>
        <w:t xml:space="preserve">25.1项目流标后，长丰供水集团可能重新发布招标公告（招标邀请），进行重新招标。 </w:t>
      </w:r>
    </w:p>
    <w:p>
      <w:pPr>
        <w:spacing w:line="395" w:lineRule="auto"/>
        <w:ind w:left="172" w:firstLine="476"/>
      </w:pPr>
      <w:r>
        <w:t xml:space="preserve">25.2重新招标公告发布后，前次招标文件获取成功的投标人，依照以下方式获取新的招标文件。 </w:t>
      </w:r>
    </w:p>
    <w:p>
      <w:pPr>
        <w:ind w:left="673"/>
      </w:pPr>
      <w:r>
        <w:t xml:space="preserve">25.2.1重新招标采用现场获取招标文件的，可在现场免费获取新的招标文件。 </w:t>
      </w:r>
    </w:p>
    <w:p>
      <w:pPr>
        <w:ind w:left="673"/>
      </w:pPr>
      <w:r>
        <w:t xml:space="preserve">25.2.2重新招标采用企业库方式网上获取招标文件的，可网上免费下载新的招标文件。 </w:t>
      </w:r>
    </w:p>
    <w:p>
      <w:pPr>
        <w:spacing w:line="395" w:lineRule="auto"/>
        <w:ind w:left="172" w:firstLine="476"/>
      </w:pPr>
      <w:r>
        <w:t xml:space="preserve">25.2.3重新招标采用非企业库方式网上获取招标文件的，可网上免费下载新的招标文件。 </w:t>
      </w:r>
    </w:p>
    <w:p>
      <w:pPr>
        <w:spacing w:line="389" w:lineRule="auto"/>
        <w:ind w:left="172" w:firstLine="476"/>
      </w:pPr>
      <w:r>
        <w:t xml:space="preserve">25.3重新招标可能调整前次招标的各项规定及要求，包括招标方式、项目预算、投标人资格、付款方式、招标需求、招标与评审办法等。投标人参与重新招标，应及时获取新的招标文件，以新的招标文件为依据，编制响应文件。 </w:t>
      </w:r>
    </w:p>
    <w:p>
      <w:pPr>
        <w:spacing w:after="489" w:line="383" w:lineRule="auto"/>
        <w:ind w:left="172" w:firstLine="476"/>
      </w:pPr>
      <w:r>
        <w:t xml:space="preserve">25.4前次招标失败的，长丰供水集团将退还投标人的招标保证金。投标人参与重新招标前，须向本项目本次公告公布的招标保证金账号重新交纳招标保证金。 </w:t>
      </w:r>
    </w:p>
    <w:p>
      <w:pPr>
        <w:pStyle w:val="3"/>
        <w:spacing w:after="503"/>
      </w:pPr>
      <w:bookmarkStart w:id="8" w:name="_Toc87528830"/>
      <w:r>
        <w:t>六．定标与签订合同</w:t>
      </w:r>
      <w:bookmarkEnd w:id="8"/>
      <w:r>
        <w:t xml:space="preserve"> </w:t>
      </w:r>
    </w:p>
    <w:p>
      <w:pPr>
        <w:ind w:left="745"/>
      </w:pPr>
      <w:r>
        <w:t xml:space="preserve">26.定标 </w:t>
      </w:r>
    </w:p>
    <w:p>
      <w:pPr>
        <w:spacing w:line="383" w:lineRule="auto"/>
        <w:ind w:left="172" w:firstLine="548"/>
      </w:pPr>
      <w:r>
        <w:t xml:space="preserve">26.1招标小组应当按招标文件规定的标准和方法提出独立评审意见，推荐中标候选人。 </w:t>
      </w:r>
    </w:p>
    <w:p>
      <w:pPr>
        <w:spacing w:after="0" w:line="388" w:lineRule="auto"/>
        <w:ind w:left="172" w:firstLine="548"/>
      </w:pPr>
      <w:r>
        <w:t xml:space="preserve">26.2如招标小组认为有必要，将首先对第一中标候选人就响应文件所提供的内容是否符合招标文件的要求进行资格后审。资格后审视为本项目招标活动的延续，以书面报告作为最终审查的结果。如果确定第一中标候选人无法履行合同，将按排名依次对其余中标候选人进行类似的审查。 第一中标候选人放弃中标、因不可抗力不能履行合同、不按照招标文件要求提交履约保证金，或者被查实存在影响中标结果的违法行为等情形，不符合中标条件的，招标人可以按照招标小组提出的中标候选人名单排序依次确定其他中标候选人为中标人，也可以重新招标。 </w:t>
      </w:r>
    </w:p>
    <w:p>
      <w:pPr>
        <w:spacing w:line="383" w:lineRule="auto"/>
        <w:ind w:left="172" w:firstLine="548"/>
      </w:pPr>
      <w:r>
        <w:t xml:space="preserve">26.3原则上把合同授予实质上响应招标文件要求的排名最前的中标候选人或通过上条资格审查的中标候选人。 </w:t>
      </w:r>
    </w:p>
    <w:p>
      <w:pPr>
        <w:ind w:left="745"/>
      </w:pPr>
      <w:r>
        <w:t xml:space="preserve">26.4 最低报价并不是被授予合同的保证。 </w:t>
      </w:r>
    </w:p>
    <w:p>
      <w:pPr>
        <w:ind w:left="745"/>
      </w:pPr>
    </w:p>
    <w:p>
      <w:pPr>
        <w:ind w:firstLine="480" w:firstLineChars="200"/>
      </w:pPr>
      <w:r>
        <w:t xml:space="preserve">26.5 凡发现中标候选人有下列行为之一的，其中标无效，并移交监督部门依法处理： </w:t>
      </w:r>
    </w:p>
    <w:p>
      <w:pPr>
        <w:ind w:left="735" w:firstLine="0"/>
      </w:pPr>
      <w:r>
        <w:t xml:space="preserve">26.5.1有下列情形之一的，属于投标人相互串通投标： </w:t>
      </w:r>
    </w:p>
    <w:p>
      <w:pPr>
        <w:ind w:left="745"/>
      </w:pPr>
      <w:r>
        <w:t xml:space="preserve">26.5.1.1投标人之间协商投标报价等响应文件的实质性内容； </w:t>
      </w:r>
    </w:p>
    <w:p>
      <w:pPr>
        <w:ind w:left="745"/>
      </w:pPr>
      <w:r>
        <w:t xml:space="preserve">26.5.1.2投标人之间约定中标人； </w:t>
      </w:r>
    </w:p>
    <w:p>
      <w:pPr>
        <w:ind w:left="745"/>
      </w:pPr>
      <w:r>
        <w:t xml:space="preserve">26.5.1.3投标人之间约定部分投标人放弃投标或者中标； </w:t>
      </w:r>
    </w:p>
    <w:p>
      <w:pPr>
        <w:ind w:left="745"/>
      </w:pPr>
      <w:r>
        <w:t xml:space="preserve">26.5.1.4属于同一集团、协会、商会等组织成员的投标人按照该组织要求协同投标； </w:t>
      </w:r>
    </w:p>
    <w:p>
      <w:pPr>
        <w:ind w:left="745"/>
      </w:pPr>
      <w:r>
        <w:t xml:space="preserve">26.5.1.5投标人之间为谋取中标或者排斥特定投标人而采取的其他联合行动。 </w:t>
      </w:r>
    </w:p>
    <w:p>
      <w:pPr>
        <w:ind w:firstLine="480" w:firstLineChars="200"/>
      </w:pPr>
      <w:r>
        <w:t xml:space="preserve">26.5.2有下列情形之一的，视为投标人相互串通投标： </w:t>
      </w:r>
    </w:p>
    <w:p>
      <w:pPr>
        <w:ind w:left="745"/>
      </w:pPr>
      <w:r>
        <w:t xml:space="preserve">26.5.2.1不同投标人的响应文件由同一单位或者个人编制； </w:t>
      </w:r>
    </w:p>
    <w:p>
      <w:pPr>
        <w:ind w:left="745"/>
      </w:pPr>
      <w:r>
        <w:t xml:space="preserve">26.5.2.2不同投标人委托同一单位或者个人办理投标事宜； </w:t>
      </w:r>
    </w:p>
    <w:p>
      <w:pPr>
        <w:ind w:left="745"/>
      </w:pPr>
      <w:r>
        <w:t xml:space="preserve">26.5.2.3不同投标人的响应文件载明的项目管理成员为同一人； </w:t>
      </w:r>
    </w:p>
    <w:p>
      <w:pPr>
        <w:ind w:left="745"/>
      </w:pPr>
      <w:r>
        <w:t xml:space="preserve">26.5.2.4不同投标人的响应文件异常一致或者投标报价呈规律性差异； </w:t>
      </w:r>
    </w:p>
    <w:p>
      <w:pPr>
        <w:ind w:left="745"/>
      </w:pPr>
      <w:r>
        <w:t xml:space="preserve">26.5.2.5不同投标人的响应文件相互混装； </w:t>
      </w:r>
    </w:p>
    <w:p>
      <w:pPr>
        <w:ind w:left="745"/>
      </w:pPr>
      <w:r>
        <w:t xml:space="preserve">26.5.2.6不同投标人的招标保证金从同一单位或者个人的账户转出。 </w:t>
      </w:r>
    </w:p>
    <w:p>
      <w:pPr>
        <w:ind w:firstLine="480" w:firstLineChars="200"/>
      </w:pPr>
      <w:r>
        <w:t xml:space="preserve">26.5.3有下列情形之一的，属于招标人与投标人串通投标： </w:t>
      </w:r>
    </w:p>
    <w:p>
      <w:pPr>
        <w:ind w:left="745"/>
      </w:pPr>
      <w:r>
        <w:t xml:space="preserve">26.5.3.1招标人在开标前开启响应文件并将有关信息泄露给其他投标人； </w:t>
      </w:r>
    </w:p>
    <w:p>
      <w:pPr>
        <w:ind w:left="745"/>
      </w:pPr>
      <w:r>
        <w:t xml:space="preserve">26.5.3.2招标人直接或者间接向投标人泄露标底、招标小组成员等信息； </w:t>
      </w:r>
    </w:p>
    <w:p>
      <w:pPr>
        <w:ind w:left="745"/>
      </w:pPr>
      <w:r>
        <w:t xml:space="preserve">26.5.3.3招标人明示或者暗示投标人压低或者抬高投标报价； </w:t>
      </w:r>
    </w:p>
    <w:p>
      <w:pPr>
        <w:ind w:left="745"/>
      </w:pPr>
      <w:r>
        <w:t xml:space="preserve">26.5.3.4招标人授意投标人撤换、修改响应文件； </w:t>
      </w:r>
    </w:p>
    <w:p>
      <w:pPr>
        <w:ind w:left="745"/>
      </w:pPr>
      <w:r>
        <w:t xml:space="preserve">26.5.3.5招标人明示或者暗示投标人为特定投标人中标提供方便； </w:t>
      </w:r>
    </w:p>
    <w:p>
      <w:pPr>
        <w:ind w:left="745"/>
      </w:pPr>
      <w:r>
        <w:t xml:space="preserve">26.5.3.6招标人与投标人为谋求特定投标人中标而采取的其他串通行为。 </w:t>
      </w:r>
    </w:p>
    <w:p>
      <w:pPr>
        <w:ind w:left="745"/>
      </w:pPr>
      <w:r>
        <w:t xml:space="preserve">26.5.4使用通过受让或者租借等方式获取的资格、资质证书投标的， </w:t>
      </w:r>
    </w:p>
    <w:p>
      <w:pPr>
        <w:spacing w:line="383" w:lineRule="auto"/>
        <w:ind w:left="745" w:firstLine="0"/>
      </w:pPr>
      <w:r>
        <w:t xml:space="preserve">26.5.5投标人有下列情形之一的，属于招标投标法第三十三条规定的以其他方式弄虚作假的行为： </w:t>
      </w:r>
    </w:p>
    <w:p>
      <w:pPr>
        <w:ind w:left="745"/>
      </w:pPr>
      <w:r>
        <w:t xml:space="preserve">26.5.5.1使用伪造、变造的许可证件； </w:t>
      </w:r>
    </w:p>
    <w:p>
      <w:pPr>
        <w:spacing w:after="0"/>
        <w:ind w:left="745"/>
      </w:pPr>
      <w:r>
        <w:t xml:space="preserve">26.5.5.2提供虚假的财务状况或者业绩； </w:t>
      </w:r>
    </w:p>
    <w:p>
      <w:pPr>
        <w:ind w:left="745"/>
      </w:pPr>
      <w:r>
        <w:t xml:space="preserve">26.5.5.3提供虚假的项目负责人或者主要技术人员简历、劳动关系证明； </w:t>
      </w:r>
    </w:p>
    <w:p>
      <w:pPr>
        <w:ind w:left="745"/>
      </w:pPr>
      <w:r>
        <w:t xml:space="preserve">26.5.5.4提供虚假的信用状况； </w:t>
      </w:r>
    </w:p>
    <w:p>
      <w:pPr>
        <w:ind w:left="745"/>
      </w:pPr>
      <w:r>
        <w:t xml:space="preserve">26.5.5.5其他弄虚作假的行为。 </w:t>
      </w:r>
    </w:p>
    <w:p>
      <w:pPr>
        <w:ind w:firstLine="480" w:firstLineChars="200"/>
      </w:pPr>
      <w:r>
        <w:t xml:space="preserve">26.5.6其他违反招投标法律、法规和规章强制性规定的行为。 </w:t>
      </w:r>
    </w:p>
    <w:p>
      <w:pPr>
        <w:spacing w:line="383" w:lineRule="auto"/>
        <w:ind w:left="172" w:firstLine="548"/>
      </w:pPr>
      <w:r>
        <w:t xml:space="preserve">26.6 定标前，长丰供水集团可能会同招标人对中标候选人进行约谈。约谈包括诚信承诺、履约承诺以及原件核查等内容。 </w:t>
      </w:r>
    </w:p>
    <w:p>
      <w:pPr>
        <w:spacing w:line="383" w:lineRule="auto"/>
        <w:ind w:left="172" w:firstLine="548"/>
      </w:pPr>
      <w:r>
        <w:t xml:space="preserve">26.7中标候选人信息将在网上公示，公示期不少于3日，期满无异议则发布中标结果公告。 </w:t>
      </w:r>
    </w:p>
    <w:p>
      <w:pPr>
        <w:ind w:left="745"/>
      </w:pPr>
      <w:r>
        <w:t xml:space="preserve">27.中标通知书 </w:t>
      </w:r>
    </w:p>
    <w:p>
      <w:pPr>
        <w:ind w:left="673"/>
      </w:pPr>
      <w:r>
        <w:t xml:space="preserve">27.1长丰供水集团将以中标通知书形式通知中标人，其投标已被接受。 </w:t>
      </w:r>
    </w:p>
    <w:p>
      <w:pPr>
        <w:ind w:left="673"/>
      </w:pPr>
      <w:r>
        <w:t xml:space="preserve">27.2长丰供水集团对未中标的投标人不做未中标原因的解释。 </w:t>
      </w:r>
    </w:p>
    <w:p>
      <w:pPr>
        <w:spacing w:line="389" w:lineRule="auto"/>
        <w:ind w:left="172" w:firstLine="480" w:firstLineChars="200"/>
        <w:rPr>
          <w:rFonts w:eastAsiaTheme="minorEastAsia"/>
        </w:rPr>
      </w:pPr>
      <w:r>
        <w:rPr>
          <w:rFonts w:ascii="Times New Roman" w:hAnsi="Times New Roman" w:eastAsia="Times New Roman" w:cs="Times New Roman"/>
        </w:rPr>
        <w:t>27</w:t>
      </w:r>
      <w:r>
        <w:t xml:space="preserve">.3中标结果公告发布后，中标人请在3个工作日内委派专人凭介绍信或公司授权书（须同时携带有效身份证明）到公司联系。 </w:t>
      </w:r>
    </w:p>
    <w:p>
      <w:pPr>
        <w:ind w:left="745"/>
      </w:pPr>
      <w:r>
        <w:t xml:space="preserve">28.签订合同 </w:t>
      </w:r>
    </w:p>
    <w:p>
      <w:pPr>
        <w:spacing w:line="389" w:lineRule="auto"/>
        <w:ind w:left="172" w:firstLine="548"/>
      </w:pPr>
      <w:r>
        <w:t xml:space="preserve">28.1中标人应在中标通知书发出之日起三十日内（具体时间、地点见中标通知书）与招标人签订合同。招标文件、中标人的响应文件及澄清文件等，均作为合同的附件。合同签订前中标人应向长丰供水集团出示招标代理服务费和履约保证金交纳证明。 </w:t>
      </w:r>
    </w:p>
    <w:p>
      <w:pPr>
        <w:spacing w:line="391" w:lineRule="auto"/>
        <w:ind w:left="172" w:firstLine="548"/>
      </w:pPr>
      <w:r>
        <w:t xml:space="preserve">28.2 招标双方必须严格按照招标文件、响应文件及有关承诺签订合同，不得擅自变更。合同的标的、价款、质量、履行期限等主要条款应当与招标文件和中标人的响应文件的内容一致，招标人和中标人不得再行订立背离合同实质性内容的其他协议。对任何因双方擅自变更合同引起的问题长丰供水集团概不负责，合同风险由双方自行承担。 </w:t>
      </w:r>
    </w:p>
    <w:p>
      <w:pPr>
        <w:spacing w:line="395" w:lineRule="auto"/>
        <w:ind w:left="172" w:firstLine="519"/>
      </w:pPr>
      <w:r>
        <w:t xml:space="preserve">28.3招标人保留以书面形式要求合同的卖方对其所投服务的方式、地点及服务细则等作适当调整的权利。 </w:t>
      </w:r>
    </w:p>
    <w:p>
      <w:pPr>
        <w:spacing w:line="389" w:lineRule="auto"/>
        <w:ind w:left="172" w:firstLine="519"/>
      </w:pPr>
      <w:r>
        <w:t xml:space="preserve">28.4无论基于何种原因，各项本应作拒绝处理的情形即便未被及时发现而使该投标人进入初审、详细评审或其它后续程序，包括已经签约的情形，一旦在任何时间被发现，招标人或长丰供水集团均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 </w:t>
      </w:r>
    </w:p>
    <w:p>
      <w:pPr>
        <w:ind w:left="745"/>
      </w:pPr>
      <w:r>
        <w:t xml:space="preserve">29.异议 </w:t>
      </w:r>
    </w:p>
    <w:p>
      <w:pPr>
        <w:spacing w:before="240" w:after="0" w:line="240" w:lineRule="auto"/>
        <w:ind w:left="172" w:firstLine="519"/>
      </w:pPr>
      <w:r>
        <w:t xml:space="preserve">29.1若投标人对评标结果有异议，可在中标候选人公示期内以书面形式在工作时间向合肥市长丰供水集团提出。 </w:t>
      </w:r>
    </w:p>
    <w:p>
      <w:pPr>
        <w:spacing w:before="240" w:after="0" w:line="240" w:lineRule="auto"/>
        <w:ind w:left="716"/>
      </w:pPr>
      <w:r>
        <w:t xml:space="preserve">29.2异议应以书面形式实名提出，书面异议材料应当包括以下内容： </w:t>
      </w:r>
    </w:p>
    <w:p>
      <w:pPr>
        <w:spacing w:before="240" w:after="0" w:line="240" w:lineRule="auto"/>
        <w:ind w:left="716"/>
      </w:pPr>
      <w:r>
        <w:t xml:space="preserve">29.2.1异议人的名称、地址、有效联系方式； </w:t>
      </w:r>
    </w:p>
    <w:p>
      <w:pPr>
        <w:spacing w:before="240" w:after="0" w:line="240" w:lineRule="auto"/>
        <w:ind w:left="716"/>
      </w:pPr>
      <w:r>
        <w:t xml:space="preserve">29.2.2项目名称、项目编号、标段号（如有）； </w:t>
      </w:r>
    </w:p>
    <w:p>
      <w:pPr>
        <w:spacing w:before="240" w:after="0" w:line="240" w:lineRule="auto"/>
        <w:ind w:left="716"/>
      </w:pPr>
      <w:r>
        <w:t xml:space="preserve">29.2.3被异议人名称； </w:t>
      </w:r>
    </w:p>
    <w:p>
      <w:pPr>
        <w:spacing w:before="240" w:after="0" w:line="240" w:lineRule="auto"/>
        <w:ind w:left="716"/>
      </w:pPr>
      <w:r>
        <w:t xml:space="preserve">29.2.4具体的异议事项、基本事实及必要的证明材料； </w:t>
      </w:r>
    </w:p>
    <w:p>
      <w:pPr>
        <w:spacing w:before="240" w:after="0" w:line="240" w:lineRule="auto"/>
        <w:ind w:left="716"/>
      </w:pPr>
      <w:r>
        <w:t xml:space="preserve">29.2.5明确的请求及主张； </w:t>
      </w:r>
    </w:p>
    <w:p>
      <w:pPr>
        <w:spacing w:before="240" w:after="0" w:line="240" w:lineRule="auto"/>
        <w:ind w:left="716"/>
      </w:pPr>
      <w:r>
        <w:t xml:space="preserve">29.2.6提起异议的日期。 </w:t>
      </w:r>
    </w:p>
    <w:p>
      <w:pPr>
        <w:spacing w:line="240" w:lineRule="auto"/>
        <w:ind w:left="172" w:firstLine="519"/>
      </w:pPr>
      <w:r>
        <w:t xml:space="preserve">异议人为法人或者其他组织的，应当由法定代表人或其委托代理人（需有委托授权书）签字并加盖公章。 异议人需要修改、补充异议材料的，应当在异议期内提交修改或补充材料。 </w:t>
      </w:r>
    </w:p>
    <w:p>
      <w:pPr>
        <w:spacing w:after="0" w:line="240" w:lineRule="auto"/>
        <w:ind w:left="673"/>
      </w:pPr>
      <w:r>
        <w:t xml:space="preserve">30.投诉受理 </w:t>
      </w:r>
    </w:p>
    <w:p>
      <w:pPr>
        <w:spacing w:after="0" w:line="240" w:lineRule="auto"/>
        <w:ind w:left="745"/>
      </w:pPr>
      <w:r>
        <w:t>若投标人对异议处理意见有异议，可在规定时间内以书面形式向招标监督管理机构提</w:t>
      </w:r>
    </w:p>
    <w:p>
      <w:pPr>
        <w:spacing w:after="0" w:line="240" w:lineRule="auto"/>
        <w:ind w:left="720" w:right="7119" w:hanging="548"/>
      </w:pPr>
      <w:r>
        <w:t xml:space="preserve">出投诉。 </w:t>
      </w:r>
    </w:p>
    <w:p>
      <w:pPr>
        <w:spacing w:after="0" w:line="240" w:lineRule="auto"/>
        <w:ind w:left="240" w:leftChars="100" w:right="7119" w:firstLine="480" w:firstLineChars="200"/>
      </w:pPr>
      <w:r>
        <w:t xml:space="preserve">31.未尽事宜 </w:t>
      </w:r>
    </w:p>
    <w:p>
      <w:pPr>
        <w:spacing w:after="0" w:line="240" w:lineRule="auto"/>
        <w:ind w:left="745"/>
      </w:pPr>
      <w:r>
        <w:t>未尽事宜按《中华人民共和国招标投标法》、《中华人民共和国招标投标法实施条例》</w:t>
      </w:r>
    </w:p>
    <w:p>
      <w:pPr>
        <w:spacing w:after="0" w:line="240" w:lineRule="auto"/>
      </w:pPr>
      <w:r>
        <w:t xml:space="preserve">及其他有关法律法规的规定执行。 </w:t>
      </w:r>
    </w:p>
    <w:p>
      <w:pPr>
        <w:spacing w:after="0" w:line="240" w:lineRule="auto"/>
        <w:ind w:left="745"/>
      </w:pPr>
      <w:r>
        <w:t xml:space="preserve">32.解释权 </w:t>
      </w:r>
    </w:p>
    <w:p>
      <w:pPr>
        <w:spacing w:after="0" w:line="240" w:lineRule="auto"/>
        <w:ind w:left="745"/>
      </w:pPr>
      <w:r>
        <w:t xml:space="preserve">本招标文件的解释权属于招标人。 </w:t>
      </w:r>
    </w:p>
    <w:p>
      <w:pPr>
        <w:spacing w:after="0" w:line="240" w:lineRule="auto"/>
        <w:ind w:left="745"/>
      </w:pPr>
    </w:p>
    <w:p>
      <w:pPr>
        <w:spacing w:after="0" w:line="240" w:lineRule="auto"/>
        <w:ind w:left="745"/>
      </w:pPr>
    </w:p>
    <w:p>
      <w:pPr>
        <w:spacing w:after="0" w:line="240" w:lineRule="auto"/>
        <w:ind w:left="745"/>
      </w:pPr>
    </w:p>
    <w:p>
      <w:pPr>
        <w:spacing w:after="0" w:line="240" w:lineRule="auto"/>
        <w:ind w:left="745"/>
      </w:pPr>
    </w:p>
    <w:p>
      <w:pPr>
        <w:spacing w:after="0" w:line="240" w:lineRule="auto"/>
        <w:ind w:left="745"/>
      </w:pPr>
    </w:p>
    <w:p>
      <w:pPr>
        <w:spacing w:after="0" w:line="240" w:lineRule="auto"/>
        <w:ind w:left="745"/>
      </w:pPr>
    </w:p>
    <w:p>
      <w:pPr>
        <w:spacing w:after="0" w:line="240" w:lineRule="auto"/>
        <w:ind w:left="745"/>
      </w:pPr>
    </w:p>
    <w:p>
      <w:pPr>
        <w:spacing w:after="0" w:line="240" w:lineRule="auto"/>
        <w:ind w:left="745"/>
      </w:pPr>
    </w:p>
    <w:p>
      <w:pPr>
        <w:spacing w:after="0" w:line="240" w:lineRule="auto"/>
        <w:ind w:left="745"/>
        <w:rPr>
          <w:rFonts w:eastAsiaTheme="minorEastAsia"/>
        </w:rPr>
      </w:pPr>
    </w:p>
    <w:p>
      <w:pPr>
        <w:spacing w:after="0" w:line="240" w:lineRule="auto"/>
        <w:ind w:left="375" w:right="0" w:firstLine="0"/>
      </w:pPr>
      <w:r>
        <w:t xml:space="preserve"> </w:t>
      </w:r>
    </w:p>
    <w:p>
      <w:pPr>
        <w:pStyle w:val="2"/>
        <w:spacing w:after="569"/>
        <w:rPr>
          <w:rFonts w:hint="eastAsia" w:eastAsia="宋体"/>
          <w:lang w:val="en-US" w:eastAsia="zh-CN"/>
        </w:rPr>
      </w:pPr>
      <w:bookmarkStart w:id="9" w:name="_Toc87528831"/>
      <w:r>
        <w:rPr>
          <w:rFonts w:hint="eastAsia" w:eastAsia="宋体"/>
          <w:lang w:val="en-US" w:eastAsia="zh-CN"/>
        </w:rPr>
        <w:t xml:space="preserve">    </w:t>
      </w:r>
    </w:p>
    <w:p>
      <w:pPr>
        <w:pStyle w:val="2"/>
        <w:spacing w:after="569"/>
      </w:pPr>
      <w:r>
        <w:t xml:space="preserve">第四章 </w:t>
      </w:r>
      <w:r>
        <w:rPr>
          <w:rFonts w:asciiTheme="majorEastAsia" w:hAnsiTheme="majorEastAsia" w:eastAsiaTheme="majorEastAsia" w:cstheme="minorHAnsi"/>
        </w:rPr>
        <w:t>招标</w:t>
      </w:r>
      <w:r>
        <w:rPr>
          <w:rFonts w:hint="eastAsia" w:cs="宋体" w:asciiTheme="majorEastAsia" w:hAnsiTheme="majorEastAsia" w:eastAsiaTheme="majorEastAsia"/>
        </w:rPr>
        <w:t>需求</w:t>
      </w:r>
      <w:bookmarkEnd w:id="9"/>
      <w:r>
        <w:rPr>
          <w:rFonts w:asciiTheme="majorEastAsia" w:hAnsiTheme="majorEastAsia" w:eastAsiaTheme="majorEastAsia" w:cstheme="minorHAnsi"/>
          <w:sz w:val="24"/>
        </w:rPr>
        <w:t xml:space="preserve"> </w:t>
      </w:r>
    </w:p>
    <w:p>
      <w:pPr>
        <w:spacing w:after="320"/>
        <w:ind w:left="673"/>
      </w:pPr>
      <w:r>
        <w:t xml:space="preserve">前注： </w:t>
      </w:r>
    </w:p>
    <w:p>
      <w:pPr>
        <w:spacing w:after="308" w:line="479" w:lineRule="auto"/>
        <w:ind w:left="172" w:firstLine="476"/>
      </w:pPr>
      <w:r>
        <w:t xml:space="preserve">1.投标人自行考虑“营改增”税收费用及风险，中标后须按国家相关规定缴纳税金并按招标人要求提供发票，费用含在本次投标总价中，中标后不作调整。 </w:t>
      </w:r>
    </w:p>
    <w:p>
      <w:pPr>
        <w:spacing w:after="309" w:line="479" w:lineRule="auto"/>
        <w:ind w:left="172" w:right="28" w:firstLine="466"/>
        <w:jc w:val="both"/>
        <w:rPr>
          <w:rFonts w:eastAsiaTheme="minorEastAsia"/>
        </w:rPr>
      </w:pPr>
      <w:r>
        <w:t>2.如对本招标文件有任何疑问或澄清要求，请按本招标文件“投标人须知前附表”中的约定方式，或接受答疑截止时间前联系招标人。否则视同理解和接受。</w:t>
      </w:r>
    </w:p>
    <w:p>
      <w:pPr>
        <w:spacing w:after="309" w:line="479" w:lineRule="auto"/>
        <w:ind w:left="172" w:right="28" w:firstLine="466"/>
        <w:jc w:val="both"/>
        <w:rPr>
          <w:rFonts w:ascii="Times New Roman" w:hAnsi="Times New Roman" w:eastAsia="Times New Roman" w:cs="Times New Roman"/>
        </w:rPr>
      </w:pPr>
      <w:r>
        <w:t xml:space="preserve"> 一、项目概况 为满足业务发展的需要，招标人拟对长丰供水集团智能仓储管理系统建设项目进行招标，确定一家单位完成软件</w:t>
      </w:r>
      <w:r>
        <w:rPr>
          <w:color w:val="auto"/>
        </w:rPr>
        <w:t>供货</w:t>
      </w:r>
      <w:r>
        <w:t>及开发工作。</w:t>
      </w:r>
      <w:r>
        <w:rPr>
          <w:rFonts w:ascii="Times New Roman" w:hAnsi="Times New Roman" w:eastAsia="Times New Roman" w:cs="Times New Roman"/>
        </w:rPr>
        <w:t xml:space="preserve"> </w:t>
      </w:r>
    </w:p>
    <w:p>
      <w:pPr>
        <w:spacing w:after="309" w:line="479" w:lineRule="auto"/>
        <w:ind w:left="172" w:right="28" w:firstLine="466"/>
        <w:jc w:val="both"/>
      </w:pPr>
      <w:r>
        <w:t xml:space="preserve">二、项目主要功能及需求 </w:t>
      </w:r>
    </w:p>
    <w:p>
      <w:pPr>
        <w:spacing w:after="309" w:line="479" w:lineRule="auto"/>
        <w:ind w:left="172" w:right="28" w:firstLine="466"/>
        <w:jc w:val="both"/>
        <w:rPr>
          <w:rFonts w:ascii="Times New Roman" w:hAnsi="Times New Roman" w:eastAsia="Times New Roman" w:cs="Times New Roman"/>
        </w:rPr>
      </w:pPr>
      <w:r>
        <w:t xml:space="preserve">本项目主要是进行智能仓储管理系统建设，做到账实一致，主要功能包括采购申请、自动生成采购订单、采购订单与供应商交互、物资出入库管理、采购物资质检管理、物资申领配送管理、手机端自助查询新建领料申请、工程现场配送物资管理、二级仓库单位收货管理、保质期管理、批次管理、先进先出管理、智能计算安全库存管理、智能库存追溯管理、出入库策略管理、库区库位管理等。投标单位须自行查勘现场，并解决与长丰供水集团财务系统的接口开发，做到与 </w:t>
      </w:r>
      <w:r>
        <w:rPr>
          <w:rFonts w:cs="Times New Roman" w:asciiTheme="minorEastAsia" w:hAnsiTheme="minorEastAsia" w:eastAsiaTheme="minorEastAsia"/>
        </w:rPr>
        <w:t>财务</w:t>
      </w:r>
      <w:r>
        <w:t>系统高效集成。</w:t>
      </w:r>
      <w:r>
        <w:rPr>
          <w:rFonts w:ascii="Times New Roman" w:hAnsi="Times New Roman" w:eastAsia="Times New Roman" w:cs="Times New Roman"/>
        </w:rPr>
        <w:t xml:space="preserve">WMS </w:t>
      </w:r>
      <w:r>
        <w:t>与 财务系统同步信息包括：物料等基础信息及有关出入库所有单据信息生成凭证。WMS系统及手机端无站点数限制，用户数应为无限用户</w:t>
      </w:r>
      <w:r>
        <w:rPr>
          <w:rFonts w:hint="eastAsia" w:eastAsiaTheme="minorEastAsia"/>
        </w:rPr>
        <w:t>。</w:t>
      </w:r>
      <w:r>
        <w:t>仓储管理系统应提供标准接口，便于工程报账管理系统、</w:t>
      </w:r>
      <w:r>
        <w:rPr>
          <w:rFonts w:ascii="Times New Roman" w:hAnsi="Times New Roman" w:eastAsia="Times New Roman" w:cs="Times New Roman"/>
        </w:rPr>
        <w:t xml:space="preserve">OA </w:t>
      </w:r>
      <w:r>
        <w:t>系统、营商环境系统、现场维修报修系统、订单系统实现对接。</w:t>
      </w:r>
      <w:r>
        <w:rPr>
          <w:rFonts w:ascii="Times New Roman" w:hAnsi="Times New Roman" w:eastAsia="Times New Roman" w:cs="Times New Roman"/>
        </w:rPr>
        <w:t xml:space="preserve"> </w:t>
      </w:r>
    </w:p>
    <w:p>
      <w:pPr>
        <w:spacing w:after="309" w:line="479" w:lineRule="auto"/>
        <w:ind w:left="172" w:right="28" w:firstLine="466"/>
        <w:jc w:val="both"/>
      </w:pPr>
    </w:p>
    <w:p>
      <w:pPr>
        <w:numPr>
          <w:ilvl w:val="0"/>
          <w:numId w:val="1"/>
        </w:numPr>
        <w:spacing w:after="317"/>
        <w:ind w:firstLine="548"/>
      </w:pPr>
      <w:r>
        <w:t>自动生成订单功能</w:t>
      </w:r>
      <w:r>
        <w:rPr>
          <w:rFonts w:ascii="Times New Roman" w:hAnsi="Times New Roman" w:eastAsia="Times New Roman" w:cs="Times New Roman"/>
        </w:rPr>
        <w:t xml:space="preserve"> </w:t>
      </w:r>
      <w:r>
        <w:rPr>
          <w:rFonts w:cs="Times New Roman" w:asciiTheme="minorEastAsia" w:hAnsiTheme="minorEastAsia" w:eastAsiaTheme="minorEastAsia"/>
        </w:rPr>
        <w:t>及订单控制功能</w:t>
      </w:r>
    </w:p>
    <w:p>
      <w:pPr>
        <w:spacing w:after="0" w:line="479" w:lineRule="auto"/>
        <w:ind w:left="172" w:firstLine="476"/>
        <w:rPr>
          <w:rFonts w:hint="eastAsia" w:asciiTheme="minorEastAsia" w:hAnsiTheme="minorEastAsia" w:eastAsiaTheme="minorEastAsia"/>
        </w:rPr>
      </w:pPr>
      <w:r>
        <w:t xml:space="preserve">要求 </w:t>
      </w:r>
      <w:r>
        <w:rPr>
          <w:rFonts w:ascii="Times New Roman" w:hAnsi="Times New Roman" w:eastAsia="Times New Roman" w:cs="Times New Roman"/>
        </w:rPr>
        <w:t xml:space="preserve">WMS </w:t>
      </w:r>
      <w:r>
        <w:t>系统依据相关采购需求清单，招标人根据采购需求，有选择性生成采购订单。</w:t>
      </w:r>
      <w:r>
        <w:rPr>
          <w:rFonts w:ascii="Times New Roman" w:hAnsi="Times New Roman" w:eastAsia="Times New Roman" w:cs="Times New Roman"/>
        </w:rPr>
        <w:t xml:space="preserve"> </w:t>
      </w:r>
      <w:r>
        <w:rPr>
          <w:rFonts w:cs="Times New Roman" w:asciiTheme="minorEastAsia" w:hAnsiTheme="minorEastAsia" w:eastAsiaTheme="minorEastAsia"/>
        </w:rPr>
        <w:t>订单入库时，需有提醒功能具体包含：金额提醒，例如入库金额已达到总金额的</w:t>
      </w:r>
      <w:r>
        <w:rPr>
          <w:rFonts w:hint="eastAsia" w:cs="Times New Roman" w:asciiTheme="minorEastAsia" w:hAnsiTheme="minorEastAsia" w:eastAsiaTheme="minorEastAsia"/>
        </w:rPr>
        <w:t>8</w:t>
      </w:r>
      <w:r>
        <w:rPr>
          <w:rFonts w:cs="Times New Roman" w:asciiTheme="minorEastAsia" w:hAnsiTheme="minorEastAsia" w:eastAsiaTheme="minorEastAsia"/>
        </w:rPr>
        <w:t>0%时提醒。数量提醒，入库数量已达到订单数量百分比。</w:t>
      </w:r>
    </w:p>
    <w:p>
      <w:pPr>
        <w:numPr>
          <w:ilvl w:val="0"/>
          <w:numId w:val="1"/>
        </w:numPr>
        <w:spacing w:after="306" w:line="479" w:lineRule="auto"/>
        <w:ind w:firstLine="548"/>
      </w:pPr>
      <w:r>
        <w:t>流程审批功能</w:t>
      </w:r>
    </w:p>
    <w:p>
      <w:pPr>
        <w:spacing w:after="306" w:line="479" w:lineRule="auto"/>
        <w:ind w:left="663" w:firstLine="0"/>
      </w:pPr>
      <w:r>
        <w:rPr>
          <w:rFonts w:eastAsiaTheme="minorEastAsia"/>
        </w:rPr>
        <w:t>所有单据具备类似于</w:t>
      </w:r>
      <w:r>
        <w:rPr>
          <w:rFonts w:hint="eastAsia" w:eastAsiaTheme="minorEastAsia"/>
        </w:rPr>
        <w:t>O</w:t>
      </w:r>
      <w:r>
        <w:rPr>
          <w:rFonts w:eastAsiaTheme="minorEastAsia"/>
        </w:rPr>
        <w:t>A流程审批功能，审批需在手机端进行。</w:t>
      </w:r>
    </w:p>
    <w:p>
      <w:pPr>
        <w:numPr>
          <w:ilvl w:val="0"/>
          <w:numId w:val="1"/>
        </w:numPr>
        <w:spacing w:after="317"/>
        <w:ind w:firstLine="548"/>
      </w:pPr>
      <w:r>
        <w:t>仓库收货入库功能</w:t>
      </w:r>
      <w:r>
        <w:rPr>
          <w:rFonts w:ascii="Times New Roman" w:hAnsi="Times New Roman" w:eastAsia="Times New Roman" w:cs="Times New Roman"/>
        </w:rPr>
        <w:t xml:space="preserve"> </w:t>
      </w:r>
    </w:p>
    <w:p>
      <w:pPr>
        <w:numPr>
          <w:ilvl w:val="1"/>
          <w:numId w:val="1"/>
        </w:numPr>
        <w:spacing w:after="306" w:line="479" w:lineRule="auto"/>
        <w:ind w:firstLine="476"/>
      </w:pPr>
      <w:r>
        <w:t>无论是仓库或工程现场，要求同时支持扫单据及货品条码两种方式收货入库，并且具有鉴别条码真假能力。</w:t>
      </w:r>
      <w:r>
        <w:rPr>
          <w:rFonts w:ascii="Times New Roman" w:hAnsi="Times New Roman" w:eastAsia="Times New Roman" w:cs="Times New Roman"/>
        </w:rPr>
        <w:t xml:space="preserve"> </w:t>
      </w:r>
    </w:p>
    <w:p>
      <w:pPr>
        <w:numPr>
          <w:ilvl w:val="1"/>
          <w:numId w:val="1"/>
        </w:numPr>
        <w:spacing w:after="316"/>
        <w:ind w:firstLine="476"/>
      </w:pPr>
      <w:r>
        <w:t>要求系统支持手机</w:t>
      </w:r>
      <w:r>
        <w:rPr>
          <w:rFonts w:ascii="Times New Roman" w:hAnsi="Times New Roman" w:eastAsia="Times New Roman" w:cs="Times New Roman"/>
        </w:rPr>
        <w:t>APP</w:t>
      </w:r>
      <w:r>
        <w:t>设备扫码收货，同时也支持后台录入入库。</w:t>
      </w:r>
      <w:r>
        <w:rPr>
          <w:rFonts w:ascii="Times New Roman" w:hAnsi="Times New Roman" w:eastAsia="Times New Roman" w:cs="Times New Roman"/>
        </w:rPr>
        <w:t xml:space="preserve"> </w:t>
      </w:r>
    </w:p>
    <w:p>
      <w:pPr>
        <w:numPr>
          <w:ilvl w:val="1"/>
          <w:numId w:val="1"/>
        </w:numPr>
        <w:spacing w:after="306" w:line="479" w:lineRule="auto"/>
        <w:ind w:firstLine="476"/>
      </w:pPr>
      <w:r>
        <w:t>要求系统具有在手机等移动设备支持纸质单据及货品拍照上传功能。</w:t>
      </w:r>
      <w:r>
        <w:rPr>
          <w:rFonts w:ascii="Times New Roman" w:hAnsi="Times New Roman" w:eastAsia="Times New Roman" w:cs="Times New Roman"/>
        </w:rPr>
        <w:t xml:space="preserve"> </w:t>
      </w:r>
    </w:p>
    <w:p>
      <w:pPr>
        <w:numPr>
          <w:ilvl w:val="1"/>
          <w:numId w:val="1"/>
        </w:numPr>
        <w:spacing w:after="306" w:line="479" w:lineRule="auto"/>
        <w:ind w:firstLine="476"/>
      </w:pPr>
      <w:r>
        <w:t>要求系统具有考核记录供应商送货情况功能。</w:t>
      </w:r>
      <w:r>
        <w:rPr>
          <w:rFonts w:ascii="Times New Roman" w:hAnsi="Times New Roman" w:eastAsia="Times New Roman" w:cs="Times New Roman"/>
        </w:rPr>
        <w:t xml:space="preserve"> </w:t>
      </w:r>
    </w:p>
    <w:p>
      <w:pPr>
        <w:numPr>
          <w:ilvl w:val="1"/>
          <w:numId w:val="1"/>
        </w:numPr>
        <w:spacing w:after="317"/>
        <w:ind w:firstLine="476"/>
      </w:pPr>
      <w:r>
        <w:t>要求系统入库单据管理互相关联，能通过系统直接反映。</w:t>
      </w:r>
      <w:r>
        <w:rPr>
          <w:rFonts w:ascii="Times New Roman" w:hAnsi="Times New Roman" w:eastAsia="Times New Roman" w:cs="Times New Roman"/>
        </w:rPr>
        <w:t xml:space="preserve"> </w:t>
      </w:r>
    </w:p>
    <w:p>
      <w:pPr>
        <w:numPr>
          <w:ilvl w:val="0"/>
          <w:numId w:val="1"/>
        </w:numPr>
        <w:spacing w:after="320"/>
        <w:ind w:firstLine="548"/>
      </w:pPr>
      <w:r>
        <w:t xml:space="preserve">领料出库功能 </w:t>
      </w:r>
    </w:p>
    <w:p>
      <w:pPr>
        <w:numPr>
          <w:ilvl w:val="1"/>
          <w:numId w:val="1"/>
        </w:numPr>
        <w:spacing w:after="320"/>
        <w:ind w:firstLine="476"/>
      </w:pPr>
      <w:r>
        <w:t xml:space="preserve">对申领单据加强管理，WMS系统具备物料申领单据。 </w:t>
      </w:r>
    </w:p>
    <w:p>
      <w:pPr>
        <w:numPr>
          <w:ilvl w:val="1"/>
          <w:numId w:val="1"/>
        </w:numPr>
        <w:spacing w:after="320"/>
        <w:ind w:firstLine="476"/>
      </w:pPr>
      <w:r>
        <w:t xml:space="preserve">系统必须确保通知领料单位来领料时，仓库一定有物资可以被领取。 </w:t>
      </w:r>
    </w:p>
    <w:p>
      <w:pPr>
        <w:numPr>
          <w:ilvl w:val="1"/>
          <w:numId w:val="1"/>
        </w:numPr>
        <w:spacing w:after="308"/>
        <w:ind w:firstLine="476"/>
      </w:pPr>
      <w:r>
        <w:t xml:space="preserve">申领单据走审批流程时具有提醒功能。 </w:t>
      </w:r>
    </w:p>
    <w:p>
      <w:pPr>
        <w:numPr>
          <w:ilvl w:val="1"/>
          <w:numId w:val="1"/>
        </w:numPr>
        <w:spacing w:after="320" w:line="479" w:lineRule="auto"/>
        <w:ind w:firstLine="476"/>
      </w:pPr>
      <w:r>
        <w:t xml:space="preserve">系统支持保管员扫码清点数量，并与领料员扫码交接。 </w:t>
      </w:r>
    </w:p>
    <w:p>
      <w:pPr>
        <w:numPr>
          <w:ilvl w:val="1"/>
          <w:numId w:val="1"/>
        </w:numPr>
        <w:spacing w:after="320" w:line="479" w:lineRule="auto"/>
        <w:ind w:firstLine="476"/>
      </w:pPr>
      <w:r>
        <w:t xml:space="preserve">要求系统支持手机、专业PDA设备扫码及出库作业。 </w:t>
      </w:r>
    </w:p>
    <w:p>
      <w:pPr>
        <w:spacing w:after="320" w:line="479" w:lineRule="auto"/>
        <w:ind w:left="1139" w:firstLine="0"/>
      </w:pPr>
    </w:p>
    <w:p>
      <w:pPr>
        <w:numPr>
          <w:ilvl w:val="0"/>
          <w:numId w:val="1"/>
        </w:numPr>
        <w:spacing w:after="317"/>
        <w:ind w:firstLine="548"/>
      </w:pPr>
      <w:r>
        <w:t>配送管理及二级单位收货</w:t>
      </w:r>
      <w:r>
        <w:rPr>
          <w:rFonts w:ascii="Times New Roman" w:hAnsi="Times New Roman" w:eastAsia="Times New Roman" w:cs="Times New Roman"/>
        </w:rPr>
        <w:t xml:space="preserve"> </w:t>
      </w:r>
    </w:p>
    <w:p>
      <w:pPr>
        <w:numPr>
          <w:ilvl w:val="1"/>
          <w:numId w:val="1"/>
        </w:numPr>
        <w:spacing w:after="317"/>
        <w:ind w:firstLine="476"/>
      </w:pPr>
      <w:r>
        <w:t>系统支持将入库单转化为配送单。</w:t>
      </w:r>
      <w:r>
        <w:rPr>
          <w:rFonts w:ascii="Times New Roman" w:hAnsi="Times New Roman" w:eastAsia="Times New Roman" w:cs="Times New Roman"/>
        </w:rPr>
        <w:t xml:space="preserve"> </w:t>
      </w:r>
    </w:p>
    <w:p>
      <w:pPr>
        <w:numPr>
          <w:ilvl w:val="1"/>
          <w:numId w:val="1"/>
        </w:numPr>
        <w:spacing w:after="307" w:line="479" w:lineRule="auto"/>
        <w:ind w:firstLine="476"/>
      </w:pPr>
      <w:r>
        <w:t>系统支持保管员</w:t>
      </w:r>
      <w:r>
        <w:rPr>
          <w:color w:val="000000" w:themeColor="text1"/>
          <w14:textFill>
            <w14:solidFill>
              <w14:schemeClr w14:val="tx1"/>
            </w14:solidFill>
          </w14:textFill>
        </w:rPr>
        <w:t>与</w:t>
      </w:r>
      <w:r>
        <w:rPr>
          <w:rFonts w:hint="eastAsia" w:eastAsiaTheme="minorEastAsia"/>
          <w:color w:val="000000" w:themeColor="text1"/>
          <w14:textFill>
            <w14:solidFill>
              <w14:schemeClr w14:val="tx1"/>
            </w14:solidFill>
          </w14:textFill>
        </w:rPr>
        <w:t>领料员</w:t>
      </w:r>
      <w:r>
        <w:t>扫码交接。</w:t>
      </w:r>
      <w:r>
        <w:rPr>
          <w:rFonts w:ascii="Times New Roman" w:hAnsi="Times New Roman" w:eastAsia="Times New Roman" w:cs="Times New Roman"/>
        </w:rPr>
        <w:t xml:space="preserve"> </w:t>
      </w:r>
    </w:p>
    <w:p>
      <w:pPr>
        <w:numPr>
          <w:ilvl w:val="1"/>
          <w:numId w:val="1"/>
        </w:numPr>
        <w:spacing w:after="306" w:line="479" w:lineRule="auto"/>
        <w:ind w:firstLine="476"/>
      </w:pPr>
      <w:r>
        <w:t>系统支持司机与二级单位用手机或</w:t>
      </w:r>
      <w:r>
        <w:rPr>
          <w:rFonts w:ascii="Times New Roman" w:hAnsi="Times New Roman" w:eastAsia="Times New Roman" w:cs="Times New Roman"/>
        </w:rPr>
        <w:t>PDA</w:t>
      </w:r>
      <w:r>
        <w:t>扫码交接，并支持在手机</w:t>
      </w:r>
      <w:r>
        <w:rPr>
          <w:rFonts w:ascii="Times New Roman" w:hAnsi="Times New Roman" w:eastAsia="Times New Roman" w:cs="Times New Roman"/>
        </w:rPr>
        <w:t>APP</w:t>
      </w:r>
      <w:r>
        <w:t>等移动设备纸质单据及货品拍照上传功能。</w:t>
      </w:r>
      <w:r>
        <w:rPr>
          <w:rFonts w:ascii="Times New Roman" w:hAnsi="Times New Roman" w:eastAsia="Times New Roman" w:cs="Times New Roman"/>
        </w:rPr>
        <w:t xml:space="preserve"> </w:t>
      </w:r>
    </w:p>
    <w:p>
      <w:pPr>
        <w:numPr>
          <w:ilvl w:val="0"/>
          <w:numId w:val="1"/>
        </w:numPr>
        <w:spacing w:after="316"/>
        <w:ind w:firstLine="548"/>
      </w:pPr>
      <w:r>
        <w:t>库内管理功能</w:t>
      </w:r>
      <w:r>
        <w:rPr>
          <w:rFonts w:ascii="Times New Roman" w:hAnsi="Times New Roman" w:eastAsia="Times New Roman" w:cs="Times New Roman"/>
        </w:rPr>
        <w:t xml:space="preserve"> </w:t>
      </w:r>
    </w:p>
    <w:p>
      <w:pPr>
        <w:numPr>
          <w:ilvl w:val="1"/>
          <w:numId w:val="1"/>
        </w:numPr>
        <w:spacing w:after="317"/>
        <w:ind w:firstLine="476"/>
      </w:pPr>
      <w:r>
        <w:t>要求系统具有安全库存管理功能。</w:t>
      </w:r>
      <w:r>
        <w:rPr>
          <w:rFonts w:ascii="Times New Roman" w:hAnsi="Times New Roman" w:eastAsia="Times New Roman" w:cs="Times New Roman"/>
        </w:rPr>
        <w:t xml:space="preserve"> </w:t>
      </w:r>
    </w:p>
    <w:p>
      <w:pPr>
        <w:numPr>
          <w:ilvl w:val="1"/>
          <w:numId w:val="1"/>
        </w:numPr>
        <w:spacing w:after="318"/>
        <w:ind w:firstLine="476"/>
      </w:pPr>
      <w:r>
        <w:t>要求系统具有保质期、预警期管理功能。</w:t>
      </w:r>
      <w:r>
        <w:rPr>
          <w:rFonts w:ascii="Times New Roman" w:hAnsi="Times New Roman" w:eastAsia="Times New Roman" w:cs="Times New Roman"/>
        </w:rPr>
        <w:t xml:space="preserve"> </w:t>
      </w:r>
    </w:p>
    <w:p>
      <w:pPr>
        <w:numPr>
          <w:ilvl w:val="1"/>
          <w:numId w:val="1"/>
        </w:numPr>
        <w:spacing w:after="317"/>
        <w:ind w:firstLine="476"/>
      </w:pPr>
      <w:r>
        <w:t>要求系统具有批次管理、先进先出管理功能。</w:t>
      </w:r>
      <w:r>
        <w:rPr>
          <w:rFonts w:ascii="Times New Roman" w:hAnsi="Times New Roman" w:eastAsia="Times New Roman" w:cs="Times New Roman"/>
        </w:rPr>
        <w:t xml:space="preserve"> </w:t>
      </w:r>
    </w:p>
    <w:p>
      <w:pPr>
        <w:numPr>
          <w:ilvl w:val="1"/>
          <w:numId w:val="1"/>
        </w:numPr>
        <w:spacing w:after="0"/>
        <w:ind w:firstLine="476"/>
      </w:pPr>
      <w:r>
        <w:t>要求系统具有各种预警提醒。</w:t>
      </w:r>
      <w:r>
        <w:rPr>
          <w:rFonts w:ascii="Times New Roman" w:hAnsi="Times New Roman" w:eastAsia="Times New Roman" w:cs="Times New Roman"/>
        </w:rPr>
        <w:t xml:space="preserve"> </w:t>
      </w:r>
    </w:p>
    <w:p>
      <w:pPr>
        <w:numPr>
          <w:ilvl w:val="1"/>
          <w:numId w:val="1"/>
        </w:numPr>
        <w:spacing w:after="318"/>
        <w:ind w:firstLine="476"/>
      </w:pPr>
      <w:r>
        <w:t>要求系统具有对重要物资追溯管理功能。</w:t>
      </w:r>
      <w:r>
        <w:rPr>
          <w:rFonts w:ascii="Times New Roman" w:hAnsi="Times New Roman" w:eastAsia="Times New Roman" w:cs="Times New Roman"/>
        </w:rPr>
        <w:t xml:space="preserve"> </w:t>
      </w:r>
    </w:p>
    <w:p>
      <w:pPr>
        <w:numPr>
          <w:ilvl w:val="0"/>
          <w:numId w:val="1"/>
        </w:numPr>
        <w:spacing w:after="314"/>
        <w:ind w:firstLine="548"/>
      </w:pPr>
      <w:r>
        <w:rPr>
          <w:rFonts w:ascii="Times New Roman" w:hAnsi="Times New Roman" w:eastAsia="Times New Roman" w:cs="Times New Roman"/>
        </w:rPr>
        <w:t>KPI</w:t>
      </w:r>
      <w:r>
        <w:t>、报表管理功能</w:t>
      </w:r>
      <w:r>
        <w:rPr>
          <w:rFonts w:ascii="Times New Roman" w:hAnsi="Times New Roman" w:eastAsia="Times New Roman" w:cs="Times New Roman"/>
        </w:rPr>
        <w:t xml:space="preserve"> </w:t>
      </w:r>
    </w:p>
    <w:p>
      <w:pPr>
        <w:numPr>
          <w:ilvl w:val="1"/>
          <w:numId w:val="1"/>
        </w:numPr>
        <w:spacing w:after="318"/>
        <w:ind w:firstLine="476"/>
      </w:pPr>
      <w:r>
        <w:t>系统具有对供应商进行考核功能。</w:t>
      </w:r>
      <w:r>
        <w:rPr>
          <w:rFonts w:ascii="Times New Roman" w:hAnsi="Times New Roman" w:eastAsia="Times New Roman" w:cs="Times New Roman"/>
        </w:rPr>
        <w:t xml:space="preserve"> </w:t>
      </w:r>
    </w:p>
    <w:p>
      <w:pPr>
        <w:numPr>
          <w:ilvl w:val="1"/>
          <w:numId w:val="1"/>
        </w:numPr>
        <w:spacing w:after="306" w:line="479" w:lineRule="auto"/>
        <w:ind w:firstLine="476"/>
      </w:pPr>
      <w:r>
        <w:t>系统具有对物料申领、退料进行考核，对于长期不领，申购退货等情况统计考核功能。</w:t>
      </w:r>
      <w:r>
        <w:rPr>
          <w:rFonts w:ascii="Times New Roman" w:hAnsi="Times New Roman" w:eastAsia="Times New Roman" w:cs="Times New Roman"/>
        </w:rPr>
        <w:t xml:space="preserve"> </w:t>
      </w:r>
    </w:p>
    <w:p>
      <w:pPr>
        <w:numPr>
          <w:ilvl w:val="1"/>
          <w:numId w:val="1"/>
        </w:numPr>
        <w:spacing w:after="307" w:line="479" w:lineRule="auto"/>
        <w:ind w:firstLine="476"/>
      </w:pPr>
      <w:r>
        <w:rPr>
          <w:color w:val="000000" w:themeColor="text1"/>
          <w14:textFill>
            <w14:solidFill>
              <w14:schemeClr w14:val="tx1"/>
            </w14:solidFill>
          </w14:textFill>
        </w:rPr>
        <w:t>系统需提供领料申请下</w:t>
      </w:r>
      <w:r>
        <w:rPr>
          <w:rFonts w:hint="eastAsia" w:eastAsiaTheme="minorEastAsia"/>
          <w:color w:val="000000" w:themeColor="text1"/>
          <w14:textFill>
            <w14:solidFill>
              <w14:schemeClr w14:val="tx1"/>
            </w14:solidFill>
          </w14:textFill>
        </w:rPr>
        <w:t>,</w:t>
      </w:r>
      <w:r>
        <w:rPr>
          <w:color w:val="000000" w:themeColor="text1"/>
          <w14:textFill>
            <w14:solidFill>
              <w14:schemeClr w14:val="tx1"/>
            </w14:solidFill>
          </w14:textFill>
        </w:rPr>
        <w:t>推领料出库单时间统计报表、</w:t>
      </w:r>
      <w:r>
        <w:t>采购订单生成采购入库单时间统计报表、物资领料申请分类汇总报表（按物料、按项目）等。</w:t>
      </w:r>
      <w:r>
        <w:rPr>
          <w:rFonts w:ascii="Times New Roman" w:hAnsi="Times New Roman" w:eastAsia="Times New Roman" w:cs="Times New Roman"/>
        </w:rPr>
        <w:t xml:space="preserve"> </w:t>
      </w:r>
    </w:p>
    <w:p>
      <w:pPr>
        <w:numPr>
          <w:ilvl w:val="1"/>
          <w:numId w:val="1"/>
        </w:numPr>
        <w:spacing w:after="316"/>
        <w:ind w:firstLine="476"/>
      </w:pPr>
      <w:r>
        <w:t xml:space="preserve">可以通过手机 </w:t>
      </w:r>
      <w:r>
        <w:rPr>
          <w:rFonts w:ascii="Times New Roman" w:hAnsi="Times New Roman" w:eastAsia="Times New Roman" w:cs="Times New Roman"/>
        </w:rPr>
        <w:t xml:space="preserve">APP </w:t>
      </w:r>
      <w:r>
        <w:t>远程查询领料申请、领料出库、即时库存等相关数据。</w:t>
      </w:r>
      <w:r>
        <w:rPr>
          <w:rFonts w:ascii="Times New Roman" w:hAnsi="Times New Roman" w:eastAsia="Times New Roman" w:cs="Times New Roman"/>
          <w:sz w:val="22"/>
        </w:rPr>
        <w:t xml:space="preserve"> </w:t>
      </w:r>
    </w:p>
    <w:p>
      <w:pPr>
        <w:spacing w:after="316"/>
        <w:ind w:left="1139" w:firstLine="0"/>
        <w:rPr>
          <w:rFonts w:ascii="Times New Roman" w:hAnsi="Times New Roman" w:eastAsia="Times New Roman" w:cs="Times New Roman"/>
          <w:sz w:val="22"/>
        </w:rPr>
      </w:pPr>
    </w:p>
    <w:p>
      <w:pPr>
        <w:spacing w:after="316"/>
        <w:ind w:left="1139" w:firstLine="0"/>
        <w:rPr>
          <w:rFonts w:ascii="Times New Roman" w:hAnsi="Times New Roman" w:eastAsia="Times New Roman" w:cs="Times New Roman"/>
          <w:sz w:val="22"/>
        </w:rPr>
      </w:pPr>
    </w:p>
    <w:p>
      <w:pPr>
        <w:spacing w:after="316"/>
        <w:ind w:left="1139" w:firstLine="0"/>
      </w:pPr>
    </w:p>
    <w:p>
      <w:pPr>
        <w:numPr>
          <w:ilvl w:val="0"/>
          <w:numId w:val="1"/>
        </w:numPr>
        <w:spacing w:after="315"/>
        <w:ind w:firstLine="548"/>
      </w:pPr>
      <w:r>
        <w:t>基础功能</w:t>
      </w:r>
      <w:r>
        <w:rPr>
          <w:rFonts w:ascii="Times New Roman" w:hAnsi="Times New Roman" w:eastAsia="Times New Roman" w:cs="Times New Roman"/>
        </w:rPr>
        <w:t xml:space="preserve"> </w:t>
      </w:r>
    </w:p>
    <w:p>
      <w:pPr>
        <w:numPr>
          <w:ilvl w:val="1"/>
          <w:numId w:val="1"/>
        </w:numPr>
        <w:spacing w:after="307" w:line="479" w:lineRule="auto"/>
        <w:ind w:firstLine="476"/>
      </w:pPr>
      <w:r>
        <w:t>具有仓库、区域、库位管理功能，可以任意、精确、灵活的设置库区、库位，仓库、库区、库位数量不受限制，可小到最小单个货品为一个库位，也可大到一个仓库设置成一个库位。</w:t>
      </w:r>
      <w:r>
        <w:rPr>
          <w:rFonts w:ascii="Times New Roman" w:hAnsi="Times New Roman" w:eastAsia="Times New Roman" w:cs="Times New Roman"/>
        </w:rPr>
        <w:t xml:space="preserve"> </w:t>
      </w:r>
    </w:p>
    <w:p>
      <w:pPr>
        <w:numPr>
          <w:ilvl w:val="1"/>
          <w:numId w:val="1"/>
        </w:numPr>
        <w:spacing w:after="317"/>
        <w:ind w:firstLine="476"/>
      </w:pPr>
      <w:r>
        <w:t>具有物料与作业员工及角色关系功能。</w:t>
      </w:r>
      <w:r>
        <w:rPr>
          <w:rFonts w:ascii="Times New Roman" w:hAnsi="Times New Roman" w:eastAsia="Times New Roman" w:cs="Times New Roman"/>
        </w:rPr>
        <w:t xml:space="preserve"> </w:t>
      </w:r>
    </w:p>
    <w:p>
      <w:pPr>
        <w:numPr>
          <w:ilvl w:val="1"/>
          <w:numId w:val="1"/>
        </w:numPr>
        <w:spacing w:after="307" w:line="479" w:lineRule="auto"/>
        <w:ind w:firstLine="476"/>
      </w:pPr>
      <w:r>
        <w:t>具有物料管理功能，与现有的</w:t>
      </w:r>
      <w:r>
        <w:rPr>
          <w:rFonts w:cs="Times New Roman" w:asciiTheme="minorEastAsia" w:hAnsiTheme="minorEastAsia" w:eastAsiaTheme="minorEastAsia"/>
        </w:rPr>
        <w:t>财务</w:t>
      </w:r>
      <w:r>
        <w:t xml:space="preserve">系统物料相兼容和共用，统一物料编码规则，并且 </w:t>
      </w:r>
      <w:r>
        <w:rPr>
          <w:rFonts w:ascii="Times New Roman" w:hAnsi="Times New Roman" w:eastAsia="Times New Roman" w:cs="Times New Roman"/>
        </w:rPr>
        <w:t xml:space="preserve">WMS </w:t>
      </w:r>
      <w:r>
        <w:t>具有物料扩充的能力，对现有的物料基础参数设置具有延展性，能兼顾后期设备管理，在实际应用时能对物料码进行扩充，本项目需要提交物资标准化成果。</w:t>
      </w:r>
      <w:r>
        <w:rPr>
          <w:rFonts w:ascii="Times New Roman" w:hAnsi="Times New Roman" w:eastAsia="Times New Roman" w:cs="Times New Roman"/>
        </w:rPr>
        <w:t xml:space="preserve"> </w:t>
      </w:r>
    </w:p>
    <w:p>
      <w:pPr>
        <w:numPr>
          <w:ilvl w:val="1"/>
          <w:numId w:val="1"/>
        </w:numPr>
        <w:spacing w:after="317"/>
        <w:ind w:firstLine="476"/>
      </w:pPr>
      <w:r>
        <w:t xml:space="preserve">其它基础资料如：供应商、项目、领料部门等信息与 </w:t>
      </w:r>
      <w:r>
        <w:rPr>
          <w:rFonts w:cs="Times New Roman" w:asciiTheme="minorEastAsia" w:hAnsiTheme="minorEastAsia" w:eastAsiaTheme="minorEastAsia"/>
        </w:rPr>
        <w:t>现有财务</w:t>
      </w:r>
      <w:r>
        <w:t>系统对接。</w:t>
      </w:r>
      <w:r>
        <w:rPr>
          <w:rFonts w:ascii="Times New Roman" w:hAnsi="Times New Roman" w:eastAsia="Times New Roman" w:cs="Times New Roman"/>
        </w:rPr>
        <w:t xml:space="preserve"> </w:t>
      </w:r>
    </w:p>
    <w:p>
      <w:pPr>
        <w:numPr>
          <w:ilvl w:val="1"/>
          <w:numId w:val="1"/>
        </w:numPr>
        <w:spacing w:after="316"/>
        <w:ind w:firstLine="476"/>
      </w:pPr>
      <w:r>
        <w:t>具有设置基础信息参数功能。</w:t>
      </w:r>
      <w:r>
        <w:rPr>
          <w:rFonts w:ascii="Times New Roman" w:hAnsi="Times New Roman" w:eastAsia="Times New Roman" w:cs="Times New Roman"/>
        </w:rPr>
        <w:t xml:space="preserve"> </w:t>
      </w:r>
    </w:p>
    <w:p>
      <w:pPr>
        <w:numPr>
          <w:ilvl w:val="0"/>
          <w:numId w:val="1"/>
        </w:numPr>
        <w:spacing w:after="315"/>
        <w:ind w:firstLine="548"/>
      </w:pPr>
      <w:r>
        <w:t xml:space="preserve">系统开发 </w:t>
      </w:r>
    </w:p>
    <w:p>
      <w:pPr>
        <w:numPr>
          <w:ilvl w:val="1"/>
          <w:numId w:val="1"/>
        </w:numPr>
        <w:spacing w:after="317"/>
        <w:ind w:firstLine="476"/>
      </w:pPr>
      <w:r>
        <w:t xml:space="preserve">系统开发需提供标准的API接口，能够与其他系统对接。 </w:t>
      </w:r>
    </w:p>
    <w:p>
      <w:pPr>
        <w:numPr>
          <w:ilvl w:val="1"/>
          <w:numId w:val="1"/>
        </w:numPr>
        <w:spacing w:after="317"/>
        <w:ind w:firstLine="476"/>
      </w:pPr>
      <w:r>
        <w:t xml:space="preserve">手机APP的开发，符合招标人统一移动应用平台的规范，可实现与统一移动应用平台的集成。 </w:t>
      </w:r>
    </w:p>
    <w:p>
      <w:pPr>
        <w:numPr>
          <w:ilvl w:val="1"/>
          <w:numId w:val="1"/>
        </w:numPr>
        <w:spacing w:after="317"/>
        <w:ind w:firstLine="476"/>
      </w:pPr>
      <w:r>
        <w:t xml:space="preserve">WMS系统提供完备的消息推送功能，能够通过但不限于短信、邮件等方式推送指定信息。 </w:t>
      </w:r>
    </w:p>
    <w:p>
      <w:pPr>
        <w:spacing w:after="88"/>
        <w:ind w:firstLine="480" w:firstLineChars="200"/>
        <w:rPr>
          <w:rFonts w:asciiTheme="majorEastAsia" w:hAnsiTheme="majorEastAsia" w:eastAsiaTheme="majorEastAsia"/>
        </w:rPr>
      </w:pPr>
      <w:r>
        <w:rPr>
          <w:rFonts w:hint="eastAsia"/>
        </w:rPr>
        <w:t>1</w:t>
      </w:r>
      <w:r>
        <w:t>0.</w:t>
      </w:r>
      <w:r>
        <w:rPr>
          <w:rFonts w:hint="eastAsia" w:cs="微软雅黑" w:asciiTheme="majorEastAsia" w:hAnsiTheme="majorEastAsia" w:eastAsiaTheme="majorEastAsia"/>
        </w:rPr>
        <w:t>与</w:t>
      </w:r>
      <w:r>
        <w:rPr>
          <w:rFonts w:hint="eastAsia" w:asciiTheme="majorEastAsia" w:hAnsiTheme="majorEastAsia" w:eastAsiaTheme="majorEastAsia"/>
        </w:rPr>
        <w:t>现有财务系统</w:t>
      </w:r>
      <w:r>
        <w:rPr>
          <w:rFonts w:hint="eastAsia" w:cs="微软雅黑" w:asciiTheme="majorEastAsia" w:hAnsiTheme="majorEastAsia" w:eastAsiaTheme="majorEastAsia"/>
        </w:rPr>
        <w:t>对接相关功能需求</w:t>
      </w:r>
    </w:p>
    <w:p>
      <w:pPr>
        <w:spacing w:after="88"/>
        <w:ind w:firstLine="960" w:firstLineChars="400"/>
        <w:rPr>
          <w:rFonts w:eastAsiaTheme="minorEastAsia"/>
        </w:rPr>
      </w:pPr>
      <w:r>
        <w:rPr>
          <w:rFonts w:hint="eastAsia" w:eastAsiaTheme="minorEastAsia"/>
        </w:rPr>
        <w:t>1</w:t>
      </w:r>
      <w:r>
        <w:rPr>
          <w:rFonts w:eastAsiaTheme="minorEastAsia"/>
        </w:rPr>
        <w:t>0.1 对接基础信息（如部门、会计科目、客户、供应商等）</w:t>
      </w:r>
    </w:p>
    <w:p>
      <w:pPr>
        <w:spacing w:after="88"/>
        <w:ind w:firstLine="960" w:firstLineChars="400"/>
        <w:rPr>
          <w:rFonts w:eastAsiaTheme="minorEastAsia"/>
        </w:rPr>
      </w:pPr>
      <w:r>
        <w:rPr>
          <w:rFonts w:hint="eastAsia" w:eastAsiaTheme="minorEastAsia"/>
        </w:rPr>
        <w:t>1</w:t>
      </w:r>
      <w:r>
        <w:rPr>
          <w:rFonts w:eastAsiaTheme="minorEastAsia"/>
        </w:rPr>
        <w:t>0.2 自动生成凭证功能，所有涉及到财务的单据需要生成凭证功能，能自动传递数据进现有财务系统生成凭证。</w:t>
      </w:r>
    </w:p>
    <w:p>
      <w:pPr>
        <w:spacing w:after="88"/>
        <w:rPr>
          <w:rFonts w:eastAsiaTheme="minorEastAsia"/>
        </w:rPr>
      </w:pPr>
      <w:r>
        <w:rPr>
          <w:rFonts w:hint="eastAsia" w:eastAsiaTheme="minorEastAsia"/>
        </w:rPr>
        <w:t xml:space="preserve"> </w:t>
      </w:r>
    </w:p>
    <w:p>
      <w:pPr>
        <w:spacing w:after="88"/>
        <w:ind w:left="1859" w:firstLine="0"/>
        <w:rPr>
          <w:rFonts w:eastAsiaTheme="minorEastAsia"/>
        </w:rPr>
      </w:pPr>
    </w:p>
    <w:p>
      <w:pPr>
        <w:spacing w:after="88"/>
        <w:ind w:left="1859" w:firstLine="0"/>
        <w:rPr>
          <w:rFonts w:eastAsiaTheme="minorEastAsia"/>
        </w:rPr>
      </w:pPr>
    </w:p>
    <w:p>
      <w:pPr>
        <w:spacing w:after="88"/>
        <w:ind w:left="1859" w:firstLine="0"/>
        <w:rPr>
          <w:rFonts w:eastAsiaTheme="minorEastAsia"/>
        </w:rPr>
      </w:pPr>
    </w:p>
    <w:p>
      <w:pPr>
        <w:spacing w:after="88"/>
        <w:ind w:left="1859" w:firstLine="0"/>
        <w:rPr>
          <w:rFonts w:eastAsiaTheme="minorEastAsia"/>
        </w:rPr>
      </w:pPr>
    </w:p>
    <w:p>
      <w:pPr>
        <w:spacing w:after="88"/>
      </w:pPr>
      <w:r>
        <w:t>三、软硬件清单及技术参数要求 投标人所投产品技术参数均不低于下表以及招标文件规定的的性能指标，中标后须严格按照投标产品规格型号供货，并对其进行配置、集成及二次开发。</w:t>
      </w:r>
      <w:r>
        <w:rPr>
          <w:rFonts w:ascii="Times New Roman" w:hAnsi="Times New Roman" w:eastAsia="Times New Roman" w:cs="Times New Roman"/>
          <w:b/>
        </w:rPr>
        <w:t xml:space="preserve"> </w:t>
      </w:r>
    </w:p>
    <w:tbl>
      <w:tblPr>
        <w:tblStyle w:val="11"/>
        <w:tblW w:w="9645" w:type="dxa"/>
        <w:tblInd w:w="65" w:type="dxa"/>
        <w:tblLayout w:type="autofit"/>
        <w:tblCellMar>
          <w:top w:w="0" w:type="dxa"/>
          <w:left w:w="109" w:type="dxa"/>
          <w:bottom w:w="0" w:type="dxa"/>
          <w:right w:w="76" w:type="dxa"/>
        </w:tblCellMar>
      </w:tblPr>
      <w:tblGrid>
        <w:gridCol w:w="851"/>
        <w:gridCol w:w="1038"/>
        <w:gridCol w:w="4887"/>
        <w:gridCol w:w="779"/>
        <w:gridCol w:w="865"/>
        <w:gridCol w:w="663"/>
        <w:gridCol w:w="562"/>
      </w:tblGrid>
      <w:tr>
        <w:tblPrEx>
          <w:tblCellMar>
            <w:top w:w="0" w:type="dxa"/>
            <w:left w:w="109" w:type="dxa"/>
            <w:bottom w:w="0" w:type="dxa"/>
            <w:right w:w="76" w:type="dxa"/>
          </w:tblCellMar>
        </w:tblPrEx>
        <w:trPr>
          <w:trHeight w:val="634" w:hRule="atLeast"/>
        </w:trPr>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71" w:right="0" w:firstLine="0"/>
              <w:jc w:val="both"/>
            </w:pPr>
            <w:r>
              <w:t>序号</w:t>
            </w:r>
            <w:r>
              <w:rPr>
                <w:rFonts w:ascii="Times New Roman" w:hAnsi="Times New Roman" w:eastAsia="Times New Roman" w:cs="Times New Roman"/>
                <w:b/>
              </w:rPr>
              <w:t xml:space="preserve"> </w:t>
            </w:r>
          </w:p>
        </w:tc>
        <w:tc>
          <w:tcPr>
            <w:tcW w:w="103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3" w:right="0" w:firstLine="0"/>
            </w:pPr>
            <w:r>
              <w:t>名称</w:t>
            </w:r>
            <w:r>
              <w:rPr>
                <w:rFonts w:ascii="Times New Roman" w:hAnsi="Times New Roman" w:eastAsia="Times New Roman" w:cs="Times New Roman"/>
                <w:b/>
              </w:rPr>
              <w:t xml:space="preserve"> </w:t>
            </w:r>
          </w:p>
        </w:tc>
        <w:tc>
          <w:tcPr>
            <w:tcW w:w="488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主要性能指标</w:t>
            </w:r>
            <w:r>
              <w:rPr>
                <w:rFonts w:ascii="Times New Roman" w:hAnsi="Times New Roman" w:eastAsia="Times New Roman" w:cs="Times New Roman"/>
                <w:b/>
              </w:rPr>
              <w:t xml:space="preserve"> </w:t>
            </w:r>
          </w:p>
        </w:tc>
        <w:tc>
          <w:tcPr>
            <w:tcW w:w="77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jc w:val="both"/>
            </w:pPr>
            <w:r>
              <w:t>品牌</w:t>
            </w:r>
            <w:r>
              <w:rPr>
                <w:rFonts w:ascii="Times New Roman" w:hAnsi="Times New Roman" w:eastAsia="Times New Roman" w:cs="Times New Roman"/>
                <w:b/>
              </w:rPr>
              <w:t xml:space="preserve"> </w:t>
            </w:r>
          </w:p>
        </w:tc>
        <w:tc>
          <w:tcPr>
            <w:tcW w:w="865" w:type="dxa"/>
            <w:tcBorders>
              <w:top w:val="single" w:color="000000" w:sz="6" w:space="0"/>
              <w:left w:val="single" w:color="000000" w:sz="6" w:space="0"/>
              <w:bottom w:val="single" w:color="000000" w:sz="6" w:space="0"/>
              <w:right w:val="single" w:color="000000" w:sz="6" w:space="0"/>
            </w:tcBorders>
          </w:tcPr>
          <w:p>
            <w:pPr>
              <w:spacing w:after="45" w:line="240" w:lineRule="auto"/>
              <w:ind w:left="58" w:right="0" w:firstLine="0"/>
              <w:jc w:val="both"/>
            </w:pPr>
            <w:r>
              <w:t>规格</w:t>
            </w:r>
          </w:p>
          <w:p>
            <w:pPr>
              <w:spacing w:after="0" w:line="276" w:lineRule="auto"/>
              <w:ind w:left="58" w:right="0" w:firstLine="0"/>
              <w:jc w:val="both"/>
            </w:pPr>
            <w:r>
              <w:t>型号</w:t>
            </w:r>
            <w:r>
              <w:rPr>
                <w:rFonts w:ascii="Times New Roman" w:hAnsi="Times New Roman" w:eastAsia="Times New Roman" w:cs="Times New Roman"/>
                <w:b/>
              </w:rPr>
              <w:t xml:space="preserve"> </w:t>
            </w:r>
          </w:p>
        </w:tc>
        <w:tc>
          <w:tcPr>
            <w:tcW w:w="663" w:type="dxa"/>
            <w:tcBorders>
              <w:top w:val="single" w:color="000000" w:sz="6" w:space="0"/>
              <w:left w:val="single" w:color="000000" w:sz="6" w:space="0"/>
              <w:bottom w:val="single" w:color="000000" w:sz="6" w:space="0"/>
              <w:right w:val="single" w:color="000000" w:sz="6" w:space="0"/>
            </w:tcBorders>
          </w:tcPr>
          <w:p>
            <w:pPr>
              <w:spacing w:after="44" w:line="240" w:lineRule="auto"/>
              <w:ind w:left="86" w:right="0" w:firstLine="0"/>
              <w:jc w:val="both"/>
            </w:pPr>
            <w:r>
              <w:t>数</w:t>
            </w:r>
          </w:p>
          <w:p>
            <w:pPr>
              <w:spacing w:after="0" w:line="276" w:lineRule="auto"/>
              <w:ind w:left="86" w:right="0" w:firstLine="0"/>
            </w:pPr>
            <w:r>
              <w:t>量</w:t>
            </w:r>
            <w:r>
              <w:rPr>
                <w:rFonts w:ascii="Times New Roman" w:hAnsi="Times New Roman" w:eastAsia="Times New Roman" w:cs="Times New Roman"/>
                <w:b/>
              </w:rPr>
              <w:t xml:space="preserve"> </w:t>
            </w:r>
          </w:p>
        </w:tc>
        <w:tc>
          <w:tcPr>
            <w:tcW w:w="562" w:type="dxa"/>
            <w:tcBorders>
              <w:top w:val="single" w:color="000000" w:sz="6" w:space="0"/>
              <w:left w:val="single" w:color="000000" w:sz="6" w:space="0"/>
              <w:bottom w:val="single" w:color="000000" w:sz="6" w:space="0"/>
              <w:right w:val="single" w:color="000000" w:sz="6" w:space="0"/>
            </w:tcBorders>
          </w:tcPr>
          <w:p>
            <w:pPr>
              <w:spacing w:after="44" w:line="240" w:lineRule="auto"/>
              <w:ind w:left="43" w:right="0" w:firstLine="0"/>
              <w:jc w:val="both"/>
            </w:pPr>
            <w:r>
              <w:t>单</w:t>
            </w:r>
          </w:p>
          <w:p>
            <w:pPr>
              <w:spacing w:after="0" w:line="276" w:lineRule="auto"/>
              <w:ind w:left="43" w:right="0" w:firstLine="0"/>
              <w:jc w:val="both"/>
            </w:pPr>
            <w:r>
              <w:t>位</w:t>
            </w:r>
            <w:r>
              <w:rPr>
                <w:rFonts w:ascii="Times New Roman" w:hAnsi="Times New Roman" w:eastAsia="Times New Roman" w:cs="Times New Roman"/>
                <w:b/>
              </w:rPr>
              <w:t xml:space="preserve"> </w:t>
            </w:r>
          </w:p>
        </w:tc>
      </w:tr>
      <w:tr>
        <w:tblPrEx>
          <w:tblCellMar>
            <w:top w:w="0" w:type="dxa"/>
            <w:left w:w="109" w:type="dxa"/>
            <w:bottom w:w="0" w:type="dxa"/>
            <w:right w:w="76" w:type="dxa"/>
          </w:tblCellMar>
        </w:tblPrEx>
        <w:trPr>
          <w:trHeight w:val="548" w:hRule="atLeast"/>
        </w:trPr>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rPr>
              <w:t>1</w:t>
            </w:r>
          </w:p>
        </w:tc>
        <w:tc>
          <w:tcPr>
            <w:tcW w:w="1038" w:type="dxa"/>
            <w:tcBorders>
              <w:top w:val="single" w:color="000000" w:sz="6" w:space="0"/>
              <w:left w:val="single" w:color="000000" w:sz="6" w:space="0"/>
              <w:bottom w:val="single" w:color="000000" w:sz="6" w:space="0"/>
              <w:right w:val="single" w:color="000000" w:sz="6" w:space="0"/>
            </w:tcBorders>
          </w:tcPr>
          <w:p>
            <w:pPr>
              <w:spacing w:after="45" w:line="240" w:lineRule="auto"/>
              <w:ind w:left="86" w:right="0" w:firstLine="0"/>
              <w:jc w:val="both"/>
            </w:pPr>
            <w:r>
              <w:rPr>
                <w:sz w:val="22"/>
              </w:rPr>
              <w:t>WMS</w:t>
            </w:r>
            <w:r>
              <w:rPr>
                <w:rFonts w:hint="eastAsia" w:ascii="微软雅黑" w:hAnsi="微软雅黑" w:eastAsia="微软雅黑" w:cs="微软雅黑"/>
                <w:sz w:val="22"/>
              </w:rPr>
              <w:t>仓储</w:t>
            </w:r>
            <w:r>
              <w:rPr>
                <w:rFonts w:hint="eastAsia" w:ascii="宋体" w:hAnsi="宋体" w:eastAsia="宋体" w:cs="宋体"/>
                <w:sz w:val="22"/>
              </w:rPr>
              <w:t>管</w:t>
            </w:r>
            <w:r>
              <w:rPr>
                <w:rFonts w:hint="eastAsia" w:ascii="微软雅黑" w:hAnsi="微软雅黑" w:eastAsia="微软雅黑" w:cs="微软雅黑"/>
                <w:sz w:val="22"/>
              </w:rPr>
              <w:t>理软件</w:t>
            </w:r>
            <w:r>
              <w:rPr>
                <w:rFonts w:ascii="Times New Roman" w:hAnsi="Times New Roman" w:eastAsia="Times New Roman" w:cs="Times New Roman"/>
                <w:sz w:val="22"/>
              </w:rPr>
              <w:t xml:space="preserve"> </w:t>
            </w:r>
          </w:p>
        </w:tc>
        <w:tc>
          <w:tcPr>
            <w:tcW w:w="488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rPr>
                <w:rFonts w:hint="eastAsia" w:ascii="微软雅黑" w:hAnsi="微软雅黑" w:eastAsia="微软雅黑" w:cs="微软雅黑"/>
                <w:sz w:val="22"/>
              </w:rPr>
              <w:t>需</w:t>
            </w:r>
            <w:r>
              <w:rPr>
                <w:sz w:val="22"/>
              </w:rPr>
              <w:t>满足“二、项目主要功能及需求”相关要求。</w:t>
            </w:r>
            <w:r>
              <w:rPr>
                <w:rFonts w:ascii="Times New Roman" w:hAnsi="Times New Roman" w:eastAsia="Times New Roman" w:cs="Times New Roman"/>
                <w:sz w:val="22"/>
              </w:rPr>
              <w:t xml:space="preserve"> </w:t>
            </w:r>
          </w:p>
        </w:tc>
        <w:tc>
          <w:tcPr>
            <w:tcW w:w="77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 </w:t>
            </w:r>
          </w:p>
        </w:tc>
        <w:tc>
          <w:tcPr>
            <w:tcW w:w="86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 </w:t>
            </w:r>
          </w:p>
        </w:tc>
        <w:tc>
          <w:tcPr>
            <w:tcW w:w="66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1 </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7" w:right="0" w:firstLine="0"/>
            </w:pPr>
            <w:r>
              <w:rPr>
                <w:sz w:val="22"/>
              </w:rPr>
              <w:t>套</w:t>
            </w:r>
            <w:r>
              <w:rPr>
                <w:rFonts w:ascii="Times New Roman" w:hAnsi="Times New Roman" w:eastAsia="Times New Roman" w:cs="Times New Roman"/>
                <w:sz w:val="22"/>
              </w:rPr>
              <w:t xml:space="preserve"> </w:t>
            </w:r>
          </w:p>
        </w:tc>
      </w:tr>
      <w:tr>
        <w:tblPrEx>
          <w:tblCellMar>
            <w:top w:w="0" w:type="dxa"/>
            <w:left w:w="109" w:type="dxa"/>
            <w:bottom w:w="0" w:type="dxa"/>
            <w:right w:w="76" w:type="dxa"/>
          </w:tblCellMar>
        </w:tblPrEx>
        <w:trPr>
          <w:trHeight w:val="548" w:hRule="atLeast"/>
        </w:trPr>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rFonts w:ascii="Times New Roman" w:hAnsi="Times New Roman" w:cs="Times New Roman" w:eastAsiaTheme="minorEastAsia"/>
              </w:rPr>
            </w:pPr>
            <w:r>
              <w:rPr>
                <w:rFonts w:hint="eastAsia" w:ascii="Times New Roman" w:hAnsi="Times New Roman" w:cs="Times New Roman" w:eastAsiaTheme="minorEastAsia"/>
              </w:rPr>
              <w:t>2</w:t>
            </w:r>
          </w:p>
        </w:tc>
        <w:tc>
          <w:tcPr>
            <w:tcW w:w="1038" w:type="dxa"/>
            <w:tcBorders>
              <w:top w:val="single" w:color="000000" w:sz="6" w:space="0"/>
              <w:left w:val="single" w:color="000000" w:sz="6" w:space="0"/>
              <w:bottom w:val="single" w:color="000000" w:sz="6" w:space="0"/>
              <w:right w:val="single" w:color="000000" w:sz="6" w:space="0"/>
            </w:tcBorders>
          </w:tcPr>
          <w:p>
            <w:pPr>
              <w:spacing w:after="45" w:line="240" w:lineRule="auto"/>
              <w:ind w:left="86" w:right="0" w:firstLine="0"/>
              <w:jc w:val="both"/>
              <w:rPr>
                <w:rFonts w:eastAsiaTheme="minorEastAsia"/>
                <w:sz w:val="22"/>
              </w:rPr>
            </w:pPr>
            <w:r>
              <w:rPr>
                <w:rFonts w:hint="eastAsia" w:eastAsiaTheme="minorEastAsia"/>
                <w:sz w:val="22"/>
              </w:rPr>
              <w:t>现有财务软件</w:t>
            </w:r>
            <w:r>
              <w:rPr>
                <w:rFonts w:eastAsiaTheme="minorEastAsia"/>
                <w:sz w:val="22"/>
              </w:rPr>
              <w:t>对接开发</w:t>
            </w:r>
          </w:p>
        </w:tc>
        <w:tc>
          <w:tcPr>
            <w:tcW w:w="488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rPr>
                <w:rFonts w:ascii="微软雅黑" w:hAnsi="微软雅黑" w:eastAsia="微软雅黑" w:cs="微软雅黑"/>
                <w:sz w:val="22"/>
              </w:rPr>
            </w:pPr>
            <w:r>
              <w:rPr>
                <w:rFonts w:hint="eastAsia" w:ascii="微软雅黑" w:hAnsi="微软雅黑" w:eastAsia="微软雅黑" w:cs="微软雅黑"/>
                <w:sz w:val="22"/>
              </w:rPr>
              <w:t>需满足</w:t>
            </w:r>
            <w:r>
              <w:rPr>
                <w:sz w:val="22"/>
              </w:rPr>
              <w:t>“</w:t>
            </w:r>
            <w:r>
              <w:rPr>
                <w:rFonts w:hint="eastAsia" w:ascii="微软雅黑" w:hAnsi="微软雅黑" w:eastAsia="微软雅黑" w:cs="微软雅黑"/>
                <w:sz w:val="22"/>
              </w:rPr>
              <w:t>二、</w:t>
            </w:r>
            <w:r>
              <w:rPr>
                <w:rFonts w:hint="eastAsia" w:eastAsiaTheme="minorEastAsia"/>
                <w:sz w:val="22"/>
              </w:rPr>
              <w:t>1</w:t>
            </w:r>
            <w:r>
              <w:rPr>
                <w:rFonts w:eastAsiaTheme="minorEastAsia"/>
                <w:sz w:val="22"/>
              </w:rPr>
              <w:t>0</w:t>
            </w:r>
            <w:r>
              <w:rPr>
                <w:rFonts w:hint="eastAsia" w:eastAsiaTheme="minorEastAsia"/>
                <w:sz w:val="22"/>
              </w:rPr>
              <w:t>现有财务系统</w:t>
            </w:r>
            <w:r>
              <w:rPr>
                <w:rFonts w:eastAsiaTheme="minorEastAsia"/>
                <w:sz w:val="22"/>
              </w:rPr>
              <w:t>对接相关功能需求</w:t>
            </w:r>
            <w:r>
              <w:rPr>
                <w:sz w:val="22"/>
              </w:rPr>
              <w:t>”</w:t>
            </w:r>
            <w:r>
              <w:rPr>
                <w:rFonts w:hint="eastAsia" w:ascii="微软雅黑" w:hAnsi="微软雅黑" w:eastAsia="微软雅黑" w:cs="微软雅黑"/>
                <w:sz w:val="22"/>
              </w:rPr>
              <w:t>相关要求。</w:t>
            </w:r>
          </w:p>
        </w:tc>
        <w:tc>
          <w:tcPr>
            <w:tcW w:w="77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rFonts w:ascii="Times New Roman" w:hAnsi="Times New Roman" w:eastAsia="Times New Roman" w:cs="Times New Roman"/>
                <w:sz w:val="22"/>
              </w:rPr>
            </w:pPr>
          </w:p>
        </w:tc>
        <w:tc>
          <w:tcPr>
            <w:tcW w:w="86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rFonts w:ascii="Times New Roman" w:hAnsi="Times New Roman" w:eastAsia="Times New Roman" w:cs="Times New Roman"/>
                <w:sz w:val="22"/>
              </w:rPr>
            </w:pPr>
          </w:p>
        </w:tc>
        <w:tc>
          <w:tcPr>
            <w:tcW w:w="66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rFonts w:ascii="Times New Roman" w:hAnsi="Times New Roman" w:cs="Times New Roman" w:eastAsiaTheme="minorEastAsia"/>
                <w:sz w:val="22"/>
              </w:rPr>
            </w:pPr>
            <w:r>
              <w:rPr>
                <w:rFonts w:hint="eastAsia" w:ascii="Times New Roman" w:hAnsi="Times New Roman" w:cs="Times New Roman" w:eastAsiaTheme="minorEastAsia"/>
                <w:sz w:val="22"/>
              </w:rPr>
              <w:t>1</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7" w:right="0" w:firstLine="0"/>
              <w:rPr>
                <w:sz w:val="22"/>
              </w:rPr>
            </w:pPr>
            <w:r>
              <w:rPr>
                <w:sz w:val="22"/>
              </w:rPr>
              <w:t>套</w:t>
            </w:r>
          </w:p>
        </w:tc>
      </w:tr>
    </w:tbl>
    <w:p>
      <w:pPr>
        <w:spacing w:after="307" w:line="479" w:lineRule="auto"/>
        <w:ind w:left="172" w:firstLine="476"/>
      </w:pPr>
      <w:r>
        <w:t>注：</w:t>
      </w:r>
      <w:r>
        <w:rPr>
          <w:rFonts w:ascii="Times New Roman" w:hAnsi="Times New Roman" w:eastAsia="Times New Roman" w:cs="Times New Roman"/>
          <w:b/>
        </w:rPr>
        <w:t>1.</w:t>
      </w:r>
      <w:r>
        <w:t>上述表格中技术参数及性能指标要求等均不作为初审指标要求，中标后须按照上表要求进行供货及提供服务。</w:t>
      </w:r>
      <w:r>
        <w:rPr>
          <w:rFonts w:ascii="Times New Roman" w:hAnsi="Times New Roman" w:eastAsia="Times New Roman" w:cs="Times New Roman"/>
          <w:b/>
        </w:rPr>
        <w:t xml:space="preserve"> </w:t>
      </w:r>
    </w:p>
    <w:p>
      <w:pPr>
        <w:spacing w:after="307" w:line="479" w:lineRule="auto"/>
        <w:ind w:left="172" w:right="146" w:firstLine="476"/>
        <w:rPr>
          <w:rFonts w:ascii="Times New Roman" w:hAnsi="Times New Roman" w:cs="Times New Roman" w:eastAsiaTheme="minorEastAsia"/>
          <w:b/>
        </w:rPr>
      </w:pPr>
      <w:r>
        <w:rPr>
          <w:rFonts w:ascii="Times New Roman" w:hAnsi="Times New Roman" w:eastAsia="Times New Roman" w:cs="Times New Roman"/>
          <w:b/>
        </w:rPr>
        <w:t>2.</w:t>
      </w:r>
      <w:r>
        <w:t>投标人须承诺：我单位所投（供）产品及提供的服务达到或优于本项目招标文件的标准要求。标后招标人将对我单位所投（供）产品及提供的服务进行核实，合同签订后招标人核实我单位所投（供）产品及提供的服务达不到本项目招标文件的要求，均按我单位违约处理，招标人有权终止合同，并上报监督管理部门处理，由此产生的一切相关责任和后果由我单位自行承担。</w:t>
      </w:r>
    </w:p>
    <w:p>
      <w:pPr>
        <w:spacing w:after="307" w:line="479" w:lineRule="auto"/>
        <w:ind w:left="172" w:right="146" w:firstLine="476"/>
      </w:pPr>
      <w:r>
        <w:t>四、系统安全要求</w:t>
      </w:r>
      <w:r>
        <w:rPr>
          <w:rFonts w:ascii="Times New Roman" w:hAnsi="Times New Roman" w:eastAsia="Times New Roman" w:cs="Times New Roman"/>
          <w:b/>
        </w:rPr>
        <w:t xml:space="preserve"> </w:t>
      </w:r>
    </w:p>
    <w:p>
      <w:pPr>
        <w:spacing w:after="318"/>
        <w:ind w:left="673"/>
      </w:pPr>
      <w:r>
        <w:rPr>
          <w:rFonts w:ascii="Times New Roman" w:hAnsi="Times New Roman" w:eastAsia="Times New Roman" w:cs="Times New Roman"/>
          <w:b/>
        </w:rPr>
        <w:t>1.</w:t>
      </w:r>
      <w:r>
        <w:t>网络及系统安全技术要求</w:t>
      </w:r>
      <w:r>
        <w:rPr>
          <w:rFonts w:ascii="Times New Roman" w:hAnsi="Times New Roman" w:eastAsia="Times New Roman" w:cs="Times New Roman"/>
          <w:b/>
        </w:rPr>
        <w:t xml:space="preserve"> </w:t>
      </w:r>
    </w:p>
    <w:p>
      <w:pPr>
        <w:spacing w:after="319"/>
        <w:ind w:left="673"/>
      </w:pPr>
      <w:r>
        <w:t>（</w:t>
      </w:r>
      <w:r>
        <w:rPr>
          <w:rFonts w:ascii="Times New Roman" w:hAnsi="Times New Roman" w:eastAsia="Times New Roman" w:cs="Times New Roman"/>
        </w:rPr>
        <w:t>1</w:t>
      </w:r>
      <w:r>
        <w:t>）密码的存储与传输采用密文；</w:t>
      </w:r>
      <w:r>
        <w:rPr>
          <w:rFonts w:ascii="Times New Roman" w:hAnsi="Times New Roman" w:eastAsia="Times New Roman" w:cs="Times New Roman"/>
        </w:rPr>
        <w:t xml:space="preserve">  </w:t>
      </w:r>
    </w:p>
    <w:p>
      <w:pPr>
        <w:spacing w:after="306" w:line="479" w:lineRule="auto"/>
        <w:ind w:left="172" w:firstLine="476"/>
      </w:pPr>
      <w:r>
        <w:t>（2）系统建设完成后，中标人需配合招标人进行信息安全等保测评，并实时提供安全漏洞补丁。</w:t>
      </w:r>
      <w:r>
        <w:rPr>
          <w:rFonts w:ascii="Times New Roman" w:hAnsi="Times New Roman" w:eastAsia="Times New Roman" w:cs="Times New Roman"/>
        </w:rPr>
        <w:t xml:space="preserve"> </w:t>
      </w:r>
    </w:p>
    <w:p>
      <w:pPr>
        <w:spacing w:after="318"/>
        <w:ind w:left="673"/>
      </w:pPr>
      <w:r>
        <w:rPr>
          <w:rFonts w:ascii="Times New Roman" w:hAnsi="Times New Roman" w:eastAsia="Times New Roman" w:cs="Times New Roman"/>
          <w:b/>
        </w:rPr>
        <w:t>2.</w:t>
      </w:r>
      <w:r>
        <w:t>数据安全技术要求</w:t>
      </w:r>
      <w:r>
        <w:rPr>
          <w:rFonts w:ascii="Times New Roman" w:hAnsi="Times New Roman" w:eastAsia="Times New Roman" w:cs="Times New Roman"/>
          <w:b/>
        </w:rPr>
        <w:t xml:space="preserve"> </w:t>
      </w:r>
    </w:p>
    <w:p>
      <w:pPr>
        <w:spacing w:after="0" w:line="240" w:lineRule="auto"/>
        <w:ind w:left="172" w:firstLine="476"/>
      </w:pPr>
      <w:r>
        <w:t>（</w:t>
      </w:r>
      <w:r>
        <w:rPr>
          <w:rFonts w:ascii="Times New Roman" w:hAnsi="Times New Roman" w:eastAsia="Times New Roman" w:cs="Times New Roman"/>
        </w:rPr>
        <w:t>1</w:t>
      </w:r>
      <w:r>
        <w:t>）支持系统管理数据、鉴别信息和用户信息在传输、存储的过程中完整性受到破坏的监测功能并具备应对策略；</w:t>
      </w:r>
      <w:r>
        <w:rPr>
          <w:rFonts w:ascii="Times New Roman" w:hAnsi="Times New Roman" w:eastAsia="Times New Roman" w:cs="Times New Roman"/>
        </w:rPr>
        <w:t xml:space="preserve"> </w:t>
      </w:r>
    </w:p>
    <w:p>
      <w:pPr>
        <w:spacing w:after="0" w:line="240" w:lineRule="auto"/>
        <w:ind w:left="673"/>
      </w:pPr>
      <w:r>
        <w:t>（</w:t>
      </w:r>
      <w:r>
        <w:rPr>
          <w:rFonts w:ascii="Times New Roman" w:hAnsi="Times New Roman" w:eastAsia="Times New Roman" w:cs="Times New Roman"/>
        </w:rPr>
        <w:t>2</w:t>
      </w:r>
      <w:r>
        <w:t>）数据库及相关软件运行数据的的存储具备保密性；</w:t>
      </w:r>
      <w:r>
        <w:rPr>
          <w:rFonts w:ascii="Times New Roman" w:hAnsi="Times New Roman" w:eastAsia="Times New Roman" w:cs="Times New Roman"/>
        </w:rPr>
        <w:t xml:space="preserve"> </w:t>
      </w:r>
    </w:p>
    <w:p>
      <w:pPr>
        <w:spacing w:after="0" w:line="240" w:lineRule="auto"/>
        <w:ind w:left="673"/>
        <w:rPr>
          <w:rFonts w:ascii="Times New Roman" w:hAnsi="Times New Roman" w:eastAsia="Times New Roman" w:cs="Times New Roman"/>
        </w:rPr>
      </w:pPr>
      <w:r>
        <w:t>（</w:t>
      </w:r>
      <w:r>
        <w:rPr>
          <w:rFonts w:ascii="Times New Roman" w:hAnsi="Times New Roman" w:eastAsia="Times New Roman" w:cs="Times New Roman"/>
        </w:rPr>
        <w:t>3</w:t>
      </w:r>
      <w:r>
        <w:t>）支持数据的备份与恢复，系统发生意外后，可以恢复到最近的备份状态。</w:t>
      </w:r>
      <w:r>
        <w:rPr>
          <w:rFonts w:ascii="Times New Roman" w:hAnsi="Times New Roman" w:eastAsia="Times New Roman" w:cs="Times New Roman"/>
        </w:rPr>
        <w:t xml:space="preserve"> </w:t>
      </w:r>
    </w:p>
    <w:p>
      <w:pPr>
        <w:spacing w:after="87"/>
        <w:ind w:left="673"/>
      </w:pPr>
      <w:r>
        <w:t>五、报价要求</w:t>
      </w:r>
      <w:r>
        <w:rPr>
          <w:rFonts w:ascii="Times New Roman" w:hAnsi="Times New Roman" w:eastAsia="Times New Roman" w:cs="Times New Roman"/>
          <w:b/>
        </w:rPr>
        <w:t xml:space="preserve"> </w:t>
      </w:r>
    </w:p>
    <w:tbl>
      <w:tblPr>
        <w:tblStyle w:val="11"/>
        <w:tblW w:w="9566" w:type="dxa"/>
        <w:tblInd w:w="65" w:type="dxa"/>
        <w:tblLayout w:type="autofit"/>
        <w:tblCellMar>
          <w:top w:w="0" w:type="dxa"/>
          <w:left w:w="108" w:type="dxa"/>
          <w:bottom w:w="0" w:type="dxa"/>
          <w:right w:w="83" w:type="dxa"/>
        </w:tblCellMar>
      </w:tblPr>
      <w:tblGrid>
        <w:gridCol w:w="848"/>
        <w:gridCol w:w="1946"/>
        <w:gridCol w:w="1243"/>
        <w:gridCol w:w="851"/>
        <w:gridCol w:w="851"/>
        <w:gridCol w:w="1134"/>
        <w:gridCol w:w="880"/>
        <w:gridCol w:w="1813"/>
      </w:tblGrid>
      <w:tr>
        <w:tblPrEx>
          <w:tblCellMar>
            <w:top w:w="0" w:type="dxa"/>
            <w:left w:w="108" w:type="dxa"/>
            <w:bottom w:w="0" w:type="dxa"/>
            <w:right w:w="83" w:type="dxa"/>
          </w:tblCellMar>
        </w:tblPrEx>
        <w:trPr>
          <w:trHeight w:val="576" w:hRule="atLeast"/>
        </w:trPr>
        <w:tc>
          <w:tcPr>
            <w:tcW w:w="84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01" w:right="0" w:firstLine="0"/>
            </w:pPr>
            <w:r>
              <w:rPr>
                <w:sz w:val="22"/>
              </w:rPr>
              <w:t>序号</w:t>
            </w:r>
            <w:r>
              <w:rPr>
                <w:rFonts w:ascii="Times New Roman" w:hAnsi="Times New Roman" w:eastAsia="Times New Roman" w:cs="Times New Roman"/>
                <w:b/>
                <w:sz w:val="22"/>
              </w:rPr>
              <w:t xml:space="preserve"> </w:t>
            </w:r>
          </w:p>
        </w:tc>
        <w:tc>
          <w:tcPr>
            <w:tcW w:w="194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sz w:val="22"/>
              </w:rPr>
              <w:t>名称</w:t>
            </w:r>
            <w:r>
              <w:rPr>
                <w:rFonts w:ascii="Times New Roman" w:hAnsi="Times New Roman" w:eastAsia="Times New Roman" w:cs="Times New Roman"/>
                <w:b/>
                <w:sz w:val="22"/>
              </w:rPr>
              <w:t xml:space="preserve"> </w:t>
            </w:r>
          </w:p>
        </w:tc>
        <w:tc>
          <w:tcPr>
            <w:tcW w:w="124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30" w:right="0" w:firstLine="0"/>
            </w:pPr>
            <w:r>
              <w:rPr>
                <w:sz w:val="22"/>
              </w:rPr>
              <w:t>规格型号</w:t>
            </w:r>
            <w:r>
              <w:rPr>
                <w:rFonts w:ascii="Times New Roman" w:hAnsi="Times New Roman" w:eastAsia="Times New Roman" w:cs="Times New Roman"/>
                <w:b/>
                <w:sz w:val="22"/>
              </w:rPr>
              <w:t xml:space="preserve">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86" w:right="0" w:firstLine="0"/>
            </w:pPr>
            <w:r>
              <w:rPr>
                <w:sz w:val="22"/>
              </w:rPr>
              <w:t>数量</w:t>
            </w:r>
            <w:r>
              <w:rPr>
                <w:rFonts w:ascii="Times New Roman" w:hAnsi="Times New Roman" w:eastAsia="Times New Roman" w:cs="Times New Roman"/>
                <w:b/>
                <w:sz w:val="22"/>
              </w:rPr>
              <w:t xml:space="preserve">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87" w:right="0" w:firstLine="0"/>
            </w:pPr>
            <w:r>
              <w:rPr>
                <w:sz w:val="22"/>
              </w:rPr>
              <w:t>单位</w:t>
            </w:r>
            <w:r>
              <w:rPr>
                <w:rFonts w:ascii="Times New Roman" w:hAnsi="Times New Roman" w:eastAsia="Times New Roman" w:cs="Times New Roman"/>
                <w:b/>
                <w:sz w:val="22"/>
              </w:rPr>
              <w:t xml:space="preserve"> </w:t>
            </w:r>
          </w:p>
        </w:tc>
        <w:tc>
          <w:tcPr>
            <w:tcW w:w="1134" w:type="dxa"/>
            <w:tcBorders>
              <w:top w:val="single" w:color="000000" w:sz="6" w:space="0"/>
              <w:left w:val="single" w:color="000000" w:sz="6" w:space="0"/>
              <w:bottom w:val="single" w:color="000000" w:sz="6" w:space="0"/>
              <w:right w:val="single" w:color="000000" w:sz="6" w:space="0"/>
            </w:tcBorders>
          </w:tcPr>
          <w:p>
            <w:pPr>
              <w:spacing w:after="0" w:line="276" w:lineRule="auto"/>
              <w:ind w:left="101" w:right="0" w:hanging="101"/>
              <w:rPr>
                <w:color w:val="000000" w:themeColor="text1"/>
                <w14:textFill>
                  <w14:solidFill>
                    <w14:schemeClr w14:val="tx1"/>
                  </w14:solidFill>
                </w14:textFill>
              </w:rPr>
            </w:pPr>
            <w:r>
              <w:rPr>
                <w:color w:val="000000" w:themeColor="text1"/>
                <w:sz w:val="22"/>
                <w14:textFill>
                  <w14:solidFill>
                    <w14:schemeClr w14:val="tx1"/>
                  </w14:solidFill>
                </w14:textFill>
              </w:rPr>
              <w:t>控制单价（元）</w:t>
            </w:r>
            <w:r>
              <w:rPr>
                <w:rFonts w:ascii="Times New Roman" w:hAnsi="Times New Roman" w:eastAsia="Times New Roman" w:cs="Times New Roman"/>
                <w:b/>
                <w:color w:val="000000" w:themeColor="text1"/>
                <w:sz w:val="22"/>
                <w14:textFill>
                  <w14:solidFill>
                    <w14:schemeClr w14:val="tx1"/>
                  </w14:solidFill>
                </w14:textFill>
              </w:rPr>
              <w:t xml:space="preserve"> </w:t>
            </w:r>
          </w:p>
        </w:tc>
        <w:tc>
          <w:tcPr>
            <w:tcW w:w="880" w:type="dxa"/>
            <w:tcBorders>
              <w:top w:val="single" w:color="000000" w:sz="6" w:space="0"/>
              <w:left w:val="single" w:color="000000" w:sz="6" w:space="0"/>
              <w:bottom w:val="single" w:color="000000" w:sz="6" w:space="0"/>
              <w:right w:val="single" w:color="000000" w:sz="6" w:space="0"/>
            </w:tcBorders>
          </w:tcPr>
          <w:p>
            <w:pPr>
              <w:spacing w:after="45" w:line="240" w:lineRule="auto"/>
              <w:ind w:left="144" w:right="0" w:firstLine="0"/>
            </w:pPr>
            <w:r>
              <w:rPr>
                <w:sz w:val="22"/>
              </w:rPr>
              <w:t>合计</w:t>
            </w:r>
          </w:p>
          <w:p>
            <w:pPr>
              <w:spacing w:after="0" w:line="276" w:lineRule="auto"/>
              <w:ind w:left="29" w:right="0" w:firstLine="0"/>
              <w:jc w:val="both"/>
            </w:pPr>
            <w:r>
              <w:rPr>
                <w:sz w:val="22"/>
              </w:rPr>
              <w:t>（元）</w:t>
            </w:r>
            <w:r>
              <w:rPr>
                <w:rFonts w:ascii="Times New Roman" w:hAnsi="Times New Roman" w:eastAsia="Times New Roman" w:cs="Times New Roman"/>
                <w:b/>
                <w:sz w:val="22"/>
              </w:rPr>
              <w:t xml:space="preserve"> </w:t>
            </w:r>
          </w:p>
        </w:tc>
        <w:tc>
          <w:tcPr>
            <w:tcW w:w="181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72" w:right="0" w:firstLine="0"/>
            </w:pPr>
            <w:r>
              <w:rPr>
                <w:sz w:val="22"/>
              </w:rPr>
              <w:t>备注</w:t>
            </w:r>
            <w:r>
              <w:rPr>
                <w:rFonts w:ascii="Times New Roman" w:hAnsi="Times New Roman" w:eastAsia="Times New Roman" w:cs="Times New Roman"/>
                <w:b/>
                <w:sz w:val="22"/>
              </w:rPr>
              <w:t xml:space="preserve"> </w:t>
            </w:r>
          </w:p>
        </w:tc>
      </w:tr>
      <w:tr>
        <w:tblPrEx>
          <w:tblCellMar>
            <w:top w:w="0" w:type="dxa"/>
            <w:left w:w="108" w:type="dxa"/>
            <w:bottom w:w="0" w:type="dxa"/>
            <w:right w:w="83" w:type="dxa"/>
          </w:tblCellMar>
        </w:tblPrEx>
        <w:trPr>
          <w:trHeight w:val="577" w:hRule="atLeast"/>
        </w:trPr>
        <w:tc>
          <w:tcPr>
            <w:tcW w:w="84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1 </w:t>
            </w:r>
          </w:p>
        </w:tc>
        <w:tc>
          <w:tcPr>
            <w:tcW w:w="194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rPr>
                <w:rFonts w:cs="Times New Roman" w:asciiTheme="minorEastAsia" w:hAnsiTheme="minorEastAsia" w:eastAsiaTheme="minorEastAsia"/>
                <w:sz w:val="22"/>
              </w:rPr>
              <w:t>现有财务系统</w:t>
            </w:r>
            <w:r>
              <w:rPr>
                <w:sz w:val="22"/>
              </w:rPr>
              <w:t>接口开发费</w:t>
            </w:r>
            <w:r>
              <w:rPr>
                <w:rFonts w:ascii="Times New Roman" w:hAnsi="Times New Roman" w:eastAsia="Times New Roman" w:cs="Times New Roman"/>
                <w:sz w:val="22"/>
              </w:rPr>
              <w:t xml:space="preserve"> </w:t>
            </w:r>
          </w:p>
        </w:tc>
        <w:tc>
          <w:tcPr>
            <w:tcW w:w="124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1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sz w:val="22"/>
              </w:rPr>
              <w:t>套</w:t>
            </w:r>
            <w:r>
              <w:rPr>
                <w:rFonts w:ascii="Times New Roman" w:hAnsi="Times New Roman" w:eastAsia="Times New Roman" w:cs="Times New Roman"/>
                <w:sz w:val="22"/>
              </w:rPr>
              <w:t xml:space="preserve"> </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2"/>
                <w14:textFill>
                  <w14:solidFill>
                    <w14:schemeClr w14:val="tx1"/>
                  </w14:solidFill>
                </w14:textFill>
              </w:rPr>
              <w:t xml:space="preserve">80,000    </w:t>
            </w:r>
          </w:p>
        </w:tc>
        <w:tc>
          <w:tcPr>
            <w:tcW w:w="88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81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0" w:type="dxa"/>
            <w:left w:w="108" w:type="dxa"/>
            <w:bottom w:w="0" w:type="dxa"/>
            <w:right w:w="83" w:type="dxa"/>
          </w:tblCellMar>
        </w:tblPrEx>
        <w:trPr>
          <w:trHeight w:val="591" w:hRule="atLeast"/>
        </w:trPr>
        <w:tc>
          <w:tcPr>
            <w:tcW w:w="84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2 </w:t>
            </w:r>
          </w:p>
        </w:tc>
        <w:tc>
          <w:tcPr>
            <w:tcW w:w="194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hint="eastAsia" w:eastAsiaTheme="minorEastAsia"/>
                <w:sz w:val="22"/>
              </w:rPr>
              <w:t>W</w:t>
            </w:r>
            <w:r>
              <w:rPr>
                <w:rFonts w:eastAsiaTheme="minorEastAsia"/>
                <w:sz w:val="22"/>
              </w:rPr>
              <w:t>MS</w:t>
            </w:r>
            <w:r>
              <w:rPr>
                <w:rFonts w:hint="eastAsia" w:ascii="宋体" w:hAnsi="宋体" w:eastAsia="宋体" w:cs="宋体"/>
                <w:sz w:val="22"/>
              </w:rPr>
              <w:t>仓储管理软件（含手机端）</w:t>
            </w:r>
          </w:p>
        </w:tc>
        <w:tc>
          <w:tcPr>
            <w:tcW w:w="124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rFonts w:eastAsiaTheme="minorEastAsia"/>
              </w:rPr>
            </w:pPr>
            <w:r>
              <w:rPr>
                <w:rFonts w:hint="eastAsia" w:eastAsiaTheme="minorEastAsia"/>
              </w:rPr>
              <w:t>1</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sz w:val="22"/>
              </w:rPr>
              <w:t>套</w:t>
            </w:r>
            <w:r>
              <w:rPr>
                <w:rFonts w:ascii="Times New Roman" w:hAnsi="Times New Roman" w:eastAsia="Times New Roman" w:cs="Times New Roman"/>
                <w:sz w:val="22"/>
              </w:rPr>
              <w:t xml:space="preserve"> </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0" w:right="0" w:hangingChars="4"/>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200,000</w:t>
            </w:r>
          </w:p>
        </w:tc>
        <w:tc>
          <w:tcPr>
            <w:tcW w:w="88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81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bookmarkStart w:id="22" w:name="_GoBack"/>
            <w:r>
              <w:rPr>
                <w:rFonts w:asciiTheme="minorEastAsia" w:hAnsiTheme="minorEastAsia" w:eastAsiaTheme="minorEastAsia" w:cstheme="minorHAnsi"/>
                <w:sz w:val="22"/>
              </w:rPr>
              <w:t>站点不限</w:t>
            </w:r>
            <w:r>
              <w:rPr>
                <w:rFonts w:ascii="Times New Roman" w:hAnsi="Times New Roman" w:eastAsia="Times New Roman" w:cs="Times New Roman"/>
                <w:sz w:val="22"/>
              </w:rPr>
              <w:t xml:space="preserve"> (</w:t>
            </w:r>
            <w:r>
              <w:rPr>
                <w:rFonts w:cs="Times New Roman" w:asciiTheme="minorEastAsia" w:hAnsiTheme="minorEastAsia" w:eastAsiaTheme="minorEastAsia"/>
                <w:sz w:val="22"/>
              </w:rPr>
              <w:t>同时具备不下于</w:t>
            </w:r>
            <w:r>
              <w:rPr>
                <w:rFonts w:hint="eastAsia" w:cs="Times New Roman" w:asciiTheme="minorEastAsia" w:hAnsiTheme="minorEastAsia" w:eastAsiaTheme="minorEastAsia"/>
                <w:sz w:val="22"/>
              </w:rPr>
              <w:t>3</w:t>
            </w:r>
            <w:r>
              <w:rPr>
                <w:rFonts w:cs="Times New Roman" w:asciiTheme="minorEastAsia" w:hAnsiTheme="minorEastAsia" w:eastAsiaTheme="minorEastAsia"/>
                <w:sz w:val="22"/>
              </w:rPr>
              <w:t>00人同时在线功能</w:t>
            </w:r>
            <w:r>
              <w:rPr>
                <w:rFonts w:ascii="Times New Roman" w:hAnsi="Times New Roman" w:eastAsia="Times New Roman" w:cs="Times New Roman"/>
                <w:sz w:val="22"/>
              </w:rPr>
              <w:t>)</w:t>
            </w:r>
            <w:bookmarkEnd w:id="22"/>
          </w:p>
        </w:tc>
      </w:tr>
    </w:tbl>
    <w:p>
      <w:pPr>
        <w:spacing w:after="307" w:line="479" w:lineRule="auto"/>
        <w:ind w:left="172" w:firstLine="476"/>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rPr>
        <w:t>1.</w:t>
      </w:r>
      <w:r>
        <w:t>投标人报价包含提供第三项（软硬件清单及技术参数要求）要求的所有软件采购费用，以及系统开发、安装、调试、培训、接口对接和开发、质保期内的软件升级、维护、售后服务、税金等涉及的所有费用。投标人所报单价不得超过控制单价，否则视为投标无效，投标人所报总价超过概算的，视为投标无效。</w:t>
      </w:r>
      <w:r>
        <w:rPr>
          <w:color w:val="000000" w:themeColor="text1"/>
          <w14:textFill>
            <w14:solidFill>
              <w14:schemeClr w14:val="tx1"/>
            </w14:solidFill>
          </w14:textFill>
        </w:rPr>
        <w:t>保障智能仓储系统和现有财务系统，数据交换无障碍运行，其中技术开发等工作由中标单位负责，费用含在此次报价中，不再另行支付。</w:t>
      </w:r>
      <w:r>
        <w:rPr>
          <w:rFonts w:ascii="Times New Roman" w:hAnsi="Times New Roman" w:eastAsia="Times New Roman" w:cs="Times New Roman"/>
          <w:b/>
          <w:color w:val="000000" w:themeColor="text1"/>
          <w14:textFill>
            <w14:solidFill>
              <w14:schemeClr w14:val="tx1"/>
            </w14:solidFill>
          </w14:textFill>
        </w:rPr>
        <w:t xml:space="preserve"> </w:t>
      </w:r>
    </w:p>
    <w:p>
      <w:pPr>
        <w:spacing w:after="307" w:line="479" w:lineRule="auto"/>
        <w:ind w:left="172" w:firstLine="476"/>
      </w:pPr>
      <w:r>
        <w:rPr>
          <w:rFonts w:hint="eastAsia" w:ascii="Times New Roman" w:hAnsi="Times New Roman" w:cs="Times New Roman" w:eastAsiaTheme="minorEastAsia"/>
          <w:b/>
        </w:rPr>
        <w:t>2.</w:t>
      </w:r>
      <w:r>
        <w:rPr>
          <w:rFonts w:hint="eastAsia"/>
        </w:rPr>
        <w:t>软件开发、实施过程中产生的所有食宿</w:t>
      </w:r>
      <w:r>
        <w:rPr>
          <w:rFonts w:hint="eastAsia" w:eastAsiaTheme="minorEastAsia"/>
        </w:rPr>
        <w:t>、</w:t>
      </w:r>
      <w:r>
        <w:rPr>
          <w:rFonts w:hint="eastAsia"/>
        </w:rPr>
        <w:t>差旅费用由中标方自行承担。</w:t>
      </w:r>
    </w:p>
    <w:p>
      <w:pPr>
        <w:spacing w:after="307" w:line="479" w:lineRule="auto"/>
        <w:ind w:left="172" w:firstLine="476"/>
      </w:pPr>
      <w:r>
        <w:rPr>
          <w:rFonts w:ascii="Times New Roman" w:hAnsi="Times New Roman" w:eastAsia="Times New Roman" w:cs="Times New Roman"/>
          <w:b/>
        </w:rPr>
        <w:t>3.</w:t>
      </w:r>
      <w:r>
        <w:t>投标人在报价时，应认真研究招标文件的各项条款，并结合本企业的实际情况，在慎重考虑各种风险后自主报价。</w:t>
      </w:r>
      <w:r>
        <w:rPr>
          <w:rFonts w:ascii="Times New Roman" w:hAnsi="Times New Roman" w:eastAsia="Times New Roman" w:cs="Times New Roman"/>
          <w:b/>
        </w:rPr>
        <w:t xml:space="preserve"> </w:t>
      </w:r>
    </w:p>
    <w:p>
      <w:pPr>
        <w:spacing w:after="308" w:line="479" w:lineRule="auto"/>
        <w:ind w:left="172" w:firstLine="476"/>
      </w:pPr>
      <w:r>
        <w:rPr>
          <w:rFonts w:ascii="Times New Roman" w:hAnsi="Times New Roman" w:eastAsia="Times New Roman" w:cs="Times New Roman"/>
          <w:b/>
        </w:rPr>
        <w:t>4.</w:t>
      </w:r>
      <w:r>
        <w:t>软硬件清单采购量为暂定需求数量，作为投标报价的参考依据和投标的共同基础。具体采购数量以招标人实际需求为准，按实结算，投标人自行考虑风险。投标时，投标人必须报出各规格产品的单价及投标总价（投标总价</w:t>
      </w:r>
      <w:r>
        <w:rPr>
          <w:rFonts w:ascii="Times New Roman" w:hAnsi="Times New Roman" w:eastAsia="Times New Roman" w:cs="Times New Roman"/>
          <w:b/>
        </w:rPr>
        <w:t>=</w:t>
      </w:r>
      <w:r>
        <w:t>∑预计采购量×单价），最终投标总价应与各项单价乘以数量报价累计之和相符，否则，投标人自行承担由此产生的一切后果和责任。本项目以投标总价作为评标、定标的依据，以单价作为结算的依据，但招标人标后复核时如发现投标人最终投标总价与各项单价乘以数量报价累计之和不符的，招标人将按最不利于投标人的方式进行调整，具体方式如下：</w:t>
      </w:r>
      <w:r>
        <w:rPr>
          <w:rFonts w:ascii="Times New Roman" w:hAnsi="Times New Roman" w:eastAsia="Times New Roman" w:cs="Times New Roman"/>
          <w:b/>
        </w:rPr>
        <w:t xml:space="preserve"> </w:t>
      </w:r>
    </w:p>
    <w:p>
      <w:pPr>
        <w:spacing w:after="307" w:line="479" w:lineRule="auto"/>
        <w:ind w:left="172" w:firstLine="476"/>
      </w:pPr>
      <w:r>
        <w:t>（</w:t>
      </w:r>
      <w:r>
        <w:rPr>
          <w:rFonts w:ascii="Times New Roman" w:hAnsi="Times New Roman" w:eastAsia="Times New Roman" w:cs="Times New Roman"/>
          <w:b/>
        </w:rPr>
        <w:t>1</w:t>
      </w:r>
      <w:r>
        <w:t>）若各项单价乘以数量的报价累计之和小于开标一览表中投标总价的，则以单价为准，修正总价；</w:t>
      </w:r>
      <w:r>
        <w:rPr>
          <w:rFonts w:ascii="Times New Roman" w:hAnsi="Times New Roman" w:eastAsia="Times New Roman" w:cs="Times New Roman"/>
          <w:b/>
        </w:rPr>
        <w:t xml:space="preserve"> </w:t>
      </w:r>
    </w:p>
    <w:p>
      <w:pPr>
        <w:spacing w:after="306" w:line="479" w:lineRule="auto"/>
        <w:ind w:left="172" w:firstLine="476"/>
      </w:pPr>
      <w:r>
        <w:t>（</w:t>
      </w:r>
      <w:r>
        <w:rPr>
          <w:rFonts w:ascii="Times New Roman" w:hAnsi="Times New Roman" w:eastAsia="Times New Roman" w:cs="Times New Roman"/>
          <w:b/>
        </w:rPr>
        <w:t>2</w:t>
      </w:r>
      <w:r>
        <w:t xml:space="preserve">）若各项单价乘以数量的报价累计之和大于开标一览表中投标总价的，则以开标一览表中投标总价为准修正单价（修正原则：按“开标一览表中投标总价÷各项单价乘以数量的报价累计之和”所得出的比例 </w:t>
      </w:r>
      <w:r>
        <w:rPr>
          <w:rFonts w:ascii="Times New Roman" w:hAnsi="Times New Roman" w:eastAsia="Times New Roman" w:cs="Times New Roman"/>
          <w:b/>
        </w:rPr>
        <w:t>Y</w:t>
      </w:r>
      <w:r>
        <w:t>，同比例修正单价，即修正后的单价</w:t>
      </w:r>
      <w:r>
        <w:rPr>
          <w:rFonts w:ascii="Times New Roman" w:hAnsi="Times New Roman" w:eastAsia="Times New Roman" w:cs="Times New Roman"/>
          <w:b/>
        </w:rPr>
        <w:t>=</w:t>
      </w:r>
      <w:r>
        <w:t>原单价×</w:t>
      </w:r>
      <w:r>
        <w:rPr>
          <w:rFonts w:ascii="Times New Roman" w:hAnsi="Times New Roman" w:eastAsia="Times New Roman" w:cs="Times New Roman"/>
          <w:b/>
        </w:rPr>
        <w:t>Y</w:t>
      </w:r>
      <w:r>
        <w:t>）；</w:t>
      </w:r>
      <w:r>
        <w:rPr>
          <w:rFonts w:ascii="Times New Roman" w:hAnsi="Times New Roman" w:eastAsia="Times New Roman" w:cs="Times New Roman"/>
          <w:b/>
        </w:rPr>
        <w:t xml:space="preserve"> </w:t>
      </w:r>
    </w:p>
    <w:p>
      <w:pPr>
        <w:spacing w:after="319"/>
        <w:ind w:left="673"/>
      </w:pPr>
      <w:r>
        <w:t>（</w:t>
      </w:r>
      <w:r>
        <w:rPr>
          <w:rFonts w:ascii="Times New Roman" w:hAnsi="Times New Roman" w:eastAsia="Times New Roman" w:cs="Times New Roman"/>
          <w:b/>
        </w:rPr>
        <w:t>3</w:t>
      </w:r>
      <w:r>
        <w:t>）未填报单价及漏项、漏量的项目均视为投标人免费提供或已包含在其他项目报价</w:t>
      </w:r>
    </w:p>
    <w:p>
      <w:pPr>
        <w:spacing w:after="0"/>
      </w:pPr>
      <w:r>
        <w:t>中。</w:t>
      </w:r>
      <w:r>
        <w:rPr>
          <w:rFonts w:ascii="Times New Roman" w:hAnsi="Times New Roman" w:eastAsia="Times New Roman" w:cs="Times New Roman"/>
          <w:b/>
        </w:rPr>
        <w:t xml:space="preserve"> </w:t>
      </w:r>
    </w:p>
    <w:p>
      <w:pPr>
        <w:spacing w:after="307" w:line="479" w:lineRule="auto"/>
        <w:ind w:left="673" w:right="4454"/>
        <w:rPr>
          <w:rFonts w:ascii="Times New Roman" w:hAnsi="Times New Roman" w:eastAsia="Times New Roman" w:cs="Times New Roman"/>
          <w:b/>
        </w:rPr>
      </w:pPr>
      <w:r>
        <w:rPr>
          <w:rFonts w:ascii="Times New Roman" w:hAnsi="Times New Roman" w:eastAsia="Times New Roman" w:cs="Times New Roman"/>
          <w:b/>
        </w:rPr>
        <w:t>5.</w:t>
      </w:r>
      <w:r>
        <w:t>报价为含税价。</w:t>
      </w:r>
      <w:r>
        <w:rPr>
          <w:rFonts w:ascii="Times New Roman" w:hAnsi="Times New Roman" w:eastAsia="Times New Roman" w:cs="Times New Roman"/>
          <w:b/>
        </w:rPr>
        <w:t xml:space="preserve"> </w:t>
      </w:r>
    </w:p>
    <w:p>
      <w:pPr>
        <w:spacing w:after="307" w:line="479" w:lineRule="auto"/>
        <w:ind w:left="673" w:right="4454"/>
      </w:pPr>
      <w:r>
        <w:t>六、项目工期及实施要求</w:t>
      </w:r>
      <w:r>
        <w:rPr>
          <w:rFonts w:ascii="Times New Roman" w:hAnsi="Times New Roman" w:eastAsia="Times New Roman" w:cs="Times New Roman"/>
          <w:b/>
        </w:rPr>
        <w:t xml:space="preserve"> </w:t>
      </w:r>
    </w:p>
    <w:p>
      <w:pPr>
        <w:spacing w:after="307" w:line="479" w:lineRule="auto"/>
        <w:ind w:left="172" w:firstLine="476"/>
      </w:pPr>
      <w:r>
        <w:rPr>
          <w:rFonts w:ascii="Times New Roman" w:hAnsi="Times New Roman" w:eastAsia="Times New Roman" w:cs="Times New Roman"/>
        </w:rPr>
        <w:t>1.</w:t>
      </w:r>
      <w:r>
        <w:t xml:space="preserve">系统实施周期为合同签订后 </w:t>
      </w:r>
      <w:r>
        <w:rPr>
          <w:rFonts w:ascii="Times New Roman" w:hAnsi="Times New Roman" w:eastAsia="Times New Roman" w:cs="Times New Roman"/>
        </w:rPr>
        <w:t xml:space="preserve">30 </w:t>
      </w:r>
      <w:r>
        <w:t>个日历天（包括前期调研和培训用时）。中标后，中标人应详细描述项目各项工作的进展计划，并明确完成各项工作预计所需时间及达到的阶</w:t>
      </w:r>
    </w:p>
    <w:p>
      <w:pPr>
        <w:spacing w:after="317"/>
      </w:pPr>
      <w:r>
        <w:t>段目标。</w:t>
      </w:r>
      <w:r>
        <w:rPr>
          <w:rFonts w:ascii="Times New Roman" w:hAnsi="Times New Roman" w:eastAsia="Times New Roman" w:cs="Times New Roman"/>
        </w:rPr>
        <w:t xml:space="preserve">  </w:t>
      </w:r>
    </w:p>
    <w:p>
      <w:pPr>
        <w:spacing w:after="319"/>
        <w:ind w:left="10" w:firstLine="720" w:firstLineChars="300"/>
      </w:pPr>
      <w:r>
        <w:rPr>
          <w:rFonts w:ascii="Times New Roman" w:hAnsi="Times New Roman" w:eastAsia="Times New Roman" w:cs="Times New Roman"/>
        </w:rPr>
        <w:t>2.</w:t>
      </w:r>
      <w:r>
        <w:t>验收后，售后服务人员须具备研发及实施能力，能及时提供服务。</w:t>
      </w:r>
      <w:r>
        <w:rPr>
          <w:rFonts w:ascii="Times New Roman" w:hAnsi="Times New Roman" w:eastAsia="Times New Roman" w:cs="Times New Roman"/>
        </w:rPr>
        <w:t xml:space="preserve">  </w:t>
      </w:r>
    </w:p>
    <w:p>
      <w:pPr>
        <w:spacing w:after="319"/>
        <w:ind w:left="673"/>
      </w:pPr>
      <w:r>
        <w:rPr>
          <w:rFonts w:ascii="Times New Roman" w:hAnsi="Times New Roman" w:eastAsia="Times New Roman" w:cs="Times New Roman"/>
        </w:rPr>
        <w:t>3.</w:t>
      </w:r>
      <w:r>
        <w:t>中标人需根据招标人要求进行软件的开发、调试和集成。</w:t>
      </w:r>
      <w:r>
        <w:rPr>
          <w:rFonts w:ascii="Times New Roman" w:hAnsi="Times New Roman" w:eastAsia="Times New Roman" w:cs="Times New Roman"/>
        </w:rPr>
        <w:t xml:space="preserve"> </w:t>
      </w:r>
    </w:p>
    <w:p>
      <w:pPr>
        <w:spacing w:after="307" w:line="479" w:lineRule="auto"/>
        <w:ind w:left="172" w:firstLine="476"/>
      </w:pPr>
      <w:r>
        <w:rPr>
          <w:rFonts w:ascii="Times New Roman" w:hAnsi="Times New Roman" w:eastAsia="Times New Roman" w:cs="Times New Roman"/>
        </w:rPr>
        <w:t>4.</w:t>
      </w:r>
      <w:r>
        <w:t>系统开发的技术方案须经招标人审核同意后，方可进行系统开发。技术方案中包含以周为单位的工作计划。</w:t>
      </w:r>
      <w:r>
        <w:rPr>
          <w:rFonts w:ascii="Times New Roman" w:hAnsi="Times New Roman" w:eastAsia="Times New Roman" w:cs="Times New Roman"/>
          <w:b/>
        </w:rPr>
        <w:t xml:space="preserve"> </w:t>
      </w:r>
    </w:p>
    <w:p>
      <w:pPr>
        <w:spacing w:after="307" w:line="479" w:lineRule="auto"/>
        <w:ind w:left="172" w:firstLine="476"/>
      </w:pPr>
      <w:r>
        <w:rPr>
          <w:rFonts w:ascii="Times New Roman" w:hAnsi="Times New Roman" w:eastAsia="Times New Roman" w:cs="Times New Roman"/>
        </w:rPr>
        <w:t>5.</w:t>
      </w:r>
      <w:r>
        <w:t>本项目需求包含但不局限于需求说明书的内容，中标人有责任为实现项目的总体目标提出更为优化的方案设计。方案在满足目前基本业务需求的同时还应兼顾到后续的业务拓展，应能满足未来智能仓库规划设计要求。</w:t>
      </w:r>
      <w:r>
        <w:rPr>
          <w:rFonts w:ascii="Times New Roman" w:hAnsi="Times New Roman" w:eastAsia="Times New Roman" w:cs="Times New Roman"/>
        </w:rPr>
        <w:t xml:space="preserve"> </w:t>
      </w:r>
      <w:r>
        <w:t>本招标文件所要求内容应视为保证系统运行所需的最低要求，如有遗漏，投标人应在投标答疑期内提出答疑，否则中标后不得以任何理由增加合同金额，同时不得影响本项目预期的使用功能和质量标准。</w:t>
      </w:r>
      <w:r>
        <w:rPr>
          <w:rFonts w:ascii="Times New Roman" w:hAnsi="Times New Roman" w:eastAsia="Times New Roman" w:cs="Times New Roman"/>
          <w:b/>
        </w:rPr>
        <w:t xml:space="preserve"> </w:t>
      </w:r>
    </w:p>
    <w:p>
      <w:pPr>
        <w:spacing w:after="304" w:line="479" w:lineRule="auto"/>
        <w:ind w:left="172" w:firstLine="476"/>
      </w:pPr>
      <w:r>
        <w:rPr>
          <w:rFonts w:ascii="Times New Roman" w:hAnsi="Times New Roman" w:eastAsia="Times New Roman" w:cs="Times New Roman"/>
        </w:rPr>
        <w:t>6.</w:t>
      </w:r>
      <w:r>
        <w:t xml:space="preserve">合同签订后，任何一方未经对方同意无故单方面终止合同的，应向对方支付合同总金额 </w:t>
      </w:r>
      <w:r>
        <w:rPr>
          <w:rFonts w:ascii="Times New Roman" w:hAnsi="Times New Roman" w:eastAsia="Times New Roman" w:cs="Times New Roman"/>
        </w:rPr>
        <w:t>5%</w:t>
      </w:r>
      <w:r>
        <w:t>的违约金。</w:t>
      </w:r>
      <w:r>
        <w:rPr>
          <w:rFonts w:ascii="Times New Roman" w:hAnsi="Times New Roman" w:eastAsia="Times New Roman" w:cs="Times New Roman"/>
        </w:rPr>
        <w:t xml:space="preserve"> </w:t>
      </w:r>
    </w:p>
    <w:p>
      <w:pPr>
        <w:spacing w:after="88" w:line="479" w:lineRule="auto"/>
        <w:ind w:left="172" w:firstLine="476"/>
        <w:rPr>
          <w:rFonts w:ascii="Times New Roman" w:hAnsi="Times New Roman" w:eastAsia="Times New Roman" w:cs="Times New Roman"/>
        </w:rPr>
      </w:pPr>
      <w:r>
        <w:rPr>
          <w:rFonts w:ascii="Times New Roman" w:hAnsi="Times New Roman" w:eastAsia="Times New Roman" w:cs="Times New Roman"/>
        </w:rPr>
        <w:t>7.</w:t>
      </w:r>
      <w:r>
        <w:t xml:space="preserve">中标人未在合同签订之日起 </w:t>
      </w:r>
      <w:r>
        <w:rPr>
          <w:rFonts w:ascii="Times New Roman" w:hAnsi="Times New Roman" w:eastAsia="Times New Roman" w:cs="Times New Roman"/>
        </w:rPr>
        <w:t xml:space="preserve">30 </w:t>
      </w:r>
      <w:r>
        <w:t xml:space="preserve">个日历天内具备试运行条件，每逾期 </w:t>
      </w:r>
      <w:r>
        <w:rPr>
          <w:rFonts w:ascii="Times New Roman" w:hAnsi="Times New Roman" w:eastAsia="Times New Roman" w:cs="Times New Roman"/>
        </w:rPr>
        <w:t xml:space="preserve">1 </w:t>
      </w:r>
      <w:r>
        <w:t xml:space="preserve">天，扣除相当于合同总金额 </w:t>
      </w:r>
      <w:r>
        <w:rPr>
          <w:rFonts w:ascii="Times New Roman" w:hAnsi="Times New Roman" w:eastAsia="Times New Roman" w:cs="Times New Roman"/>
        </w:rPr>
        <w:t>1%</w:t>
      </w:r>
      <w:r>
        <w:t xml:space="preserve">的违约金，最高可扣除相当于合同总金额 </w:t>
      </w:r>
      <w:r>
        <w:rPr>
          <w:rFonts w:ascii="Times New Roman" w:hAnsi="Times New Roman" w:eastAsia="Times New Roman" w:cs="Times New Roman"/>
        </w:rPr>
        <w:t>10%</w:t>
      </w:r>
      <w:r>
        <w:t xml:space="preserve">的违约金。超过 </w:t>
      </w:r>
      <w:r>
        <w:rPr>
          <w:rFonts w:ascii="Times New Roman" w:hAnsi="Times New Roman" w:eastAsia="Times New Roman" w:cs="Times New Roman"/>
        </w:rPr>
        <w:t xml:space="preserve">10 </w:t>
      </w:r>
      <w:r>
        <w:t>天未完成的，招标人有权解除合同，涉及的合同款项不予结算，履约保证金不予退还。</w:t>
      </w:r>
      <w:r>
        <w:rPr>
          <w:rFonts w:ascii="Times New Roman" w:hAnsi="Times New Roman" w:eastAsia="Times New Roman" w:cs="Times New Roman"/>
        </w:rPr>
        <w:t xml:space="preserve"> </w:t>
      </w:r>
    </w:p>
    <w:p>
      <w:pPr>
        <w:spacing w:after="88" w:line="479" w:lineRule="auto"/>
        <w:ind w:left="172" w:firstLine="476"/>
      </w:pPr>
      <w:r>
        <w:t>七、上线运行及验收</w:t>
      </w:r>
      <w:r>
        <w:rPr>
          <w:rFonts w:ascii="Times New Roman" w:hAnsi="Times New Roman" w:eastAsia="Times New Roman" w:cs="Times New Roman"/>
          <w:b/>
        </w:rPr>
        <w:t xml:space="preserve"> </w:t>
      </w:r>
      <w:r>
        <w:t>系统全部功能具备上线条件，经过</w:t>
      </w:r>
      <w:r>
        <w:rPr>
          <w:rFonts w:ascii="Times New Roman" w:hAnsi="Times New Roman" w:eastAsia="Times New Roman" w:cs="Times New Roman"/>
        </w:rPr>
        <w:t xml:space="preserve">60 </w:t>
      </w:r>
      <w:r>
        <w:t>个日历天的试运行后，由招标人与中标人共同组织验收。按招标文件要求、招标人审核确认的详细设计方案对该部分功能进行功能性、稳定性、安全性测试、等保测试，测试合格后由招标人填写</w:t>
      </w:r>
      <w:r>
        <w:rPr>
          <w:rFonts w:ascii="Times New Roman" w:hAnsi="Times New Roman" w:eastAsia="Times New Roman" w:cs="Times New Roman"/>
        </w:rPr>
        <w:t>“</w:t>
      </w:r>
      <w:r>
        <w:t>项目验收报告</w:t>
      </w:r>
      <w:r>
        <w:rPr>
          <w:rFonts w:ascii="Times New Roman" w:hAnsi="Times New Roman" w:eastAsia="Times New Roman" w:cs="Times New Roman"/>
        </w:rPr>
        <w:t>”</w:t>
      </w:r>
      <w:r>
        <w:t>，验收报告由招标人及中标人共同签名，并加盖公章。</w:t>
      </w:r>
      <w:r>
        <w:rPr>
          <w:rFonts w:ascii="Times New Roman" w:hAnsi="Times New Roman" w:eastAsia="Times New Roman" w:cs="Times New Roman"/>
        </w:rPr>
        <w:t xml:space="preserve"> </w:t>
      </w:r>
      <w:r>
        <w:t>中标人应提供本项目业务系统的操作使用说明文件。中标人应按照要求形成全面详尽的技术资料，包括可运行的程序及技术文档等（包含系统验收后调整和补充的项目成果和资料），确保技术资料的一致性和完整性。相关提交文档参考下表但不限于下表相关内容：</w:t>
      </w:r>
      <w:r>
        <w:rPr>
          <w:rFonts w:ascii="Times New Roman" w:hAnsi="Times New Roman" w:eastAsia="Times New Roman" w:cs="Times New Roman"/>
        </w:rPr>
        <w:t xml:space="preserve"> </w:t>
      </w:r>
    </w:p>
    <w:tbl>
      <w:tblPr>
        <w:tblStyle w:val="11"/>
        <w:tblW w:w="9645" w:type="dxa"/>
        <w:tblInd w:w="65" w:type="dxa"/>
        <w:tblLayout w:type="autofit"/>
        <w:tblCellMar>
          <w:top w:w="0" w:type="dxa"/>
          <w:left w:w="209" w:type="dxa"/>
          <w:bottom w:w="0" w:type="dxa"/>
          <w:right w:w="148" w:type="dxa"/>
        </w:tblCellMar>
      </w:tblPr>
      <w:tblGrid>
        <w:gridCol w:w="1240"/>
        <w:gridCol w:w="1888"/>
        <w:gridCol w:w="6517"/>
      </w:tblGrid>
      <w:tr>
        <w:tblPrEx>
          <w:tblCellMar>
            <w:top w:w="0" w:type="dxa"/>
            <w:left w:w="209" w:type="dxa"/>
            <w:bottom w:w="0" w:type="dxa"/>
            <w:right w:w="148" w:type="dxa"/>
          </w:tblCellMar>
        </w:tblPrEx>
        <w:trPr>
          <w:trHeight w:val="317" w:hRule="atLeast"/>
        </w:trPr>
        <w:tc>
          <w:tcPr>
            <w:tcW w:w="124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序号</w:t>
            </w:r>
            <w:r>
              <w:rPr>
                <w:rFonts w:ascii="Times New Roman" w:hAnsi="Times New Roman" w:eastAsia="Times New Roman" w:cs="Times New Roman"/>
                <w:b/>
              </w:rPr>
              <w:t xml:space="preserve"> </w:t>
            </w:r>
          </w:p>
        </w:tc>
        <w:tc>
          <w:tcPr>
            <w:tcW w:w="188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工作阶段</w:t>
            </w:r>
            <w:r>
              <w:rPr>
                <w:rFonts w:ascii="Times New Roman" w:hAnsi="Times New Roman" w:eastAsia="Times New Roman" w:cs="Times New Roman"/>
                <w:b/>
              </w:rPr>
              <w:t xml:space="preserve"> </w:t>
            </w:r>
          </w:p>
        </w:tc>
        <w:tc>
          <w:tcPr>
            <w:tcW w:w="6517"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提交文档</w:t>
            </w:r>
            <w:r>
              <w:rPr>
                <w:rFonts w:ascii="Times New Roman" w:hAnsi="Times New Roman" w:eastAsia="Times New Roman" w:cs="Times New Roman"/>
                <w:b/>
              </w:rPr>
              <w:t xml:space="preserve"> </w:t>
            </w:r>
          </w:p>
        </w:tc>
      </w:tr>
      <w:tr>
        <w:tblPrEx>
          <w:tblCellMar>
            <w:top w:w="0" w:type="dxa"/>
            <w:left w:w="209" w:type="dxa"/>
            <w:bottom w:w="0" w:type="dxa"/>
            <w:right w:w="148" w:type="dxa"/>
          </w:tblCellMar>
        </w:tblPrEx>
        <w:trPr>
          <w:trHeight w:val="331" w:hRule="atLeast"/>
        </w:trPr>
        <w:tc>
          <w:tcPr>
            <w:tcW w:w="124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rPr>
              <w:t xml:space="preserve">1 </w:t>
            </w:r>
          </w:p>
        </w:tc>
        <w:tc>
          <w:tcPr>
            <w:tcW w:w="188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前期阶段</w:t>
            </w:r>
            <w:r>
              <w:rPr>
                <w:rFonts w:ascii="Times New Roman" w:hAnsi="Times New Roman" w:eastAsia="Times New Roman" w:cs="Times New Roman"/>
              </w:rPr>
              <w:t xml:space="preserve"> </w:t>
            </w:r>
          </w:p>
        </w:tc>
        <w:tc>
          <w:tcPr>
            <w:tcW w:w="6517"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里程碑主计划、项目管理章程</w:t>
            </w:r>
            <w:r>
              <w:rPr>
                <w:rFonts w:ascii="Times New Roman" w:hAnsi="Times New Roman" w:eastAsia="Times New Roman" w:cs="Times New Roman"/>
              </w:rPr>
              <w:t xml:space="preserve"> </w:t>
            </w:r>
          </w:p>
        </w:tc>
      </w:tr>
      <w:tr>
        <w:tblPrEx>
          <w:tblCellMar>
            <w:top w:w="0" w:type="dxa"/>
            <w:left w:w="209" w:type="dxa"/>
            <w:bottom w:w="0" w:type="dxa"/>
            <w:right w:w="148" w:type="dxa"/>
          </w:tblCellMar>
        </w:tblPrEx>
        <w:trPr>
          <w:trHeight w:val="317" w:hRule="atLeast"/>
        </w:trPr>
        <w:tc>
          <w:tcPr>
            <w:tcW w:w="124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rPr>
              <w:t xml:space="preserve">2 </w:t>
            </w:r>
          </w:p>
        </w:tc>
        <w:tc>
          <w:tcPr>
            <w:tcW w:w="188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调研阶段</w:t>
            </w:r>
            <w:r>
              <w:rPr>
                <w:rFonts w:ascii="Times New Roman" w:hAnsi="Times New Roman" w:eastAsia="Times New Roman" w:cs="Times New Roman"/>
              </w:rPr>
              <w:t xml:space="preserve"> </w:t>
            </w:r>
          </w:p>
        </w:tc>
        <w:tc>
          <w:tcPr>
            <w:tcW w:w="6517"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调研计划、需求分析报告</w:t>
            </w:r>
            <w:r>
              <w:rPr>
                <w:rFonts w:ascii="Times New Roman" w:hAnsi="Times New Roman" w:eastAsia="Times New Roman" w:cs="Times New Roman"/>
              </w:rPr>
              <w:t xml:space="preserve"> </w:t>
            </w:r>
          </w:p>
        </w:tc>
      </w:tr>
      <w:tr>
        <w:tblPrEx>
          <w:tblCellMar>
            <w:top w:w="0" w:type="dxa"/>
            <w:left w:w="209" w:type="dxa"/>
            <w:bottom w:w="0" w:type="dxa"/>
            <w:right w:w="148" w:type="dxa"/>
          </w:tblCellMar>
        </w:tblPrEx>
        <w:trPr>
          <w:trHeight w:val="317" w:hRule="atLeast"/>
        </w:trPr>
        <w:tc>
          <w:tcPr>
            <w:tcW w:w="124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rPr>
              <w:t xml:space="preserve">3 </w:t>
            </w:r>
          </w:p>
        </w:tc>
        <w:tc>
          <w:tcPr>
            <w:tcW w:w="188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both"/>
            </w:pPr>
            <w:r>
              <w:t>规划设计阶段</w:t>
            </w:r>
            <w:r>
              <w:rPr>
                <w:rFonts w:ascii="Times New Roman" w:hAnsi="Times New Roman" w:eastAsia="Times New Roman" w:cs="Times New Roman"/>
              </w:rPr>
              <w:t xml:space="preserve"> </w:t>
            </w:r>
          </w:p>
        </w:tc>
        <w:tc>
          <w:tcPr>
            <w:tcW w:w="6517"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规划设计报告、项目实施计划</w:t>
            </w:r>
            <w:r>
              <w:rPr>
                <w:rFonts w:ascii="Times New Roman" w:hAnsi="Times New Roman" w:eastAsia="Times New Roman" w:cs="Times New Roman"/>
              </w:rPr>
              <w:t xml:space="preserve"> </w:t>
            </w:r>
          </w:p>
        </w:tc>
      </w:tr>
      <w:tr>
        <w:tblPrEx>
          <w:tblCellMar>
            <w:top w:w="0" w:type="dxa"/>
            <w:left w:w="209" w:type="dxa"/>
            <w:bottom w:w="0" w:type="dxa"/>
            <w:right w:w="148" w:type="dxa"/>
          </w:tblCellMar>
        </w:tblPrEx>
        <w:trPr>
          <w:trHeight w:val="331" w:hRule="atLeast"/>
        </w:trPr>
        <w:tc>
          <w:tcPr>
            <w:tcW w:w="124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rPr>
              <w:t xml:space="preserve">4 </w:t>
            </w:r>
          </w:p>
        </w:tc>
        <w:tc>
          <w:tcPr>
            <w:tcW w:w="1888" w:type="dxa"/>
            <w:tcBorders>
              <w:top w:val="single" w:color="000000" w:sz="6" w:space="0"/>
              <w:left w:val="single" w:color="000000" w:sz="6" w:space="0"/>
              <w:bottom w:val="single" w:color="000000" w:sz="6" w:space="0"/>
              <w:right w:val="single" w:color="000000" w:sz="6" w:space="0"/>
            </w:tcBorders>
          </w:tcPr>
          <w:p>
            <w:pPr>
              <w:spacing w:after="0" w:line="276" w:lineRule="auto"/>
              <w:ind w:left="130" w:right="0" w:firstLine="0"/>
            </w:pPr>
            <w:r>
              <w:t>试运行阶段</w:t>
            </w:r>
            <w:r>
              <w:rPr>
                <w:rFonts w:ascii="Times New Roman" w:hAnsi="Times New Roman" w:eastAsia="Times New Roman" w:cs="Times New Roman"/>
              </w:rPr>
              <w:t xml:space="preserve"> </w:t>
            </w:r>
          </w:p>
        </w:tc>
        <w:tc>
          <w:tcPr>
            <w:tcW w:w="6517"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上线试运行报告、使用手册、维护手册</w:t>
            </w:r>
            <w:r>
              <w:rPr>
                <w:rFonts w:ascii="Times New Roman" w:hAnsi="Times New Roman" w:eastAsia="Times New Roman" w:cs="Times New Roman"/>
              </w:rPr>
              <w:t xml:space="preserve"> </w:t>
            </w:r>
          </w:p>
        </w:tc>
      </w:tr>
      <w:tr>
        <w:tblPrEx>
          <w:tblCellMar>
            <w:top w:w="0" w:type="dxa"/>
            <w:left w:w="209" w:type="dxa"/>
            <w:bottom w:w="0" w:type="dxa"/>
            <w:right w:w="148" w:type="dxa"/>
          </w:tblCellMar>
        </w:tblPrEx>
        <w:trPr>
          <w:trHeight w:val="317" w:hRule="atLeast"/>
        </w:trPr>
        <w:tc>
          <w:tcPr>
            <w:tcW w:w="124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rPr>
              <w:t xml:space="preserve">5 </w:t>
            </w:r>
          </w:p>
        </w:tc>
        <w:tc>
          <w:tcPr>
            <w:tcW w:w="188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系统验收</w:t>
            </w:r>
            <w:r>
              <w:rPr>
                <w:rFonts w:ascii="Times New Roman" w:hAnsi="Times New Roman" w:eastAsia="Times New Roman" w:cs="Times New Roman"/>
              </w:rPr>
              <w:t xml:space="preserve"> </w:t>
            </w:r>
          </w:p>
        </w:tc>
        <w:tc>
          <w:tcPr>
            <w:tcW w:w="6517"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培训计划、培训文档、验收报告</w:t>
            </w:r>
            <w:r>
              <w:rPr>
                <w:rFonts w:ascii="Times New Roman" w:hAnsi="Times New Roman" w:eastAsia="Times New Roman" w:cs="Times New Roman"/>
              </w:rPr>
              <w:t xml:space="preserve"> </w:t>
            </w:r>
          </w:p>
        </w:tc>
      </w:tr>
      <w:tr>
        <w:tblPrEx>
          <w:tblCellMar>
            <w:top w:w="0" w:type="dxa"/>
            <w:left w:w="209" w:type="dxa"/>
            <w:bottom w:w="0" w:type="dxa"/>
            <w:right w:w="148" w:type="dxa"/>
          </w:tblCellMar>
        </w:tblPrEx>
        <w:trPr>
          <w:trHeight w:val="331" w:hRule="atLeast"/>
        </w:trPr>
        <w:tc>
          <w:tcPr>
            <w:tcW w:w="124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rPr>
              <w:t xml:space="preserve">6 </w:t>
            </w:r>
          </w:p>
        </w:tc>
        <w:tc>
          <w:tcPr>
            <w:tcW w:w="188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系统维护</w:t>
            </w:r>
            <w:r>
              <w:rPr>
                <w:rFonts w:ascii="Times New Roman" w:hAnsi="Times New Roman" w:eastAsia="Times New Roman" w:cs="Times New Roman"/>
              </w:rPr>
              <w:t xml:space="preserve"> </w:t>
            </w:r>
          </w:p>
        </w:tc>
        <w:tc>
          <w:tcPr>
            <w:tcW w:w="6517" w:type="dxa"/>
            <w:tcBorders>
              <w:top w:val="single" w:color="000000" w:sz="6" w:space="0"/>
              <w:left w:val="single" w:color="000000" w:sz="6" w:space="0"/>
              <w:bottom w:val="single" w:color="000000" w:sz="6" w:space="0"/>
              <w:right w:val="single" w:color="000000" w:sz="6" w:space="0"/>
            </w:tcBorders>
          </w:tcPr>
          <w:p>
            <w:pPr>
              <w:spacing w:after="0" w:line="276" w:lineRule="auto"/>
              <w:ind w:left="231" w:right="0" w:firstLine="0"/>
            </w:pPr>
            <w:r>
              <w:t>根据系统修改升级的情况，提供前期各文档的最新版</w:t>
            </w:r>
            <w:r>
              <w:rPr>
                <w:rFonts w:ascii="Times New Roman" w:hAnsi="Times New Roman" w:eastAsia="Times New Roman" w:cs="Times New Roman"/>
              </w:rPr>
              <w:t xml:space="preserve"> </w:t>
            </w:r>
          </w:p>
        </w:tc>
      </w:tr>
    </w:tbl>
    <w:p>
      <w:pPr>
        <w:spacing w:after="307" w:line="479" w:lineRule="auto"/>
        <w:ind w:left="673"/>
        <w:rPr>
          <w:rFonts w:eastAsiaTheme="minorEastAsia"/>
        </w:rPr>
      </w:pPr>
      <w:r>
        <w:t>所提供的验收资料应能使招标人技术人员独立维护、简单修改系统。</w:t>
      </w:r>
    </w:p>
    <w:p>
      <w:pPr>
        <w:spacing w:after="307" w:line="479" w:lineRule="auto"/>
        <w:ind w:left="673"/>
        <w:rPr>
          <w:rFonts w:eastAsiaTheme="minorEastAsia"/>
        </w:rPr>
      </w:pPr>
    </w:p>
    <w:p>
      <w:pPr>
        <w:spacing w:after="307" w:line="479" w:lineRule="auto"/>
        <w:ind w:left="673"/>
      </w:pPr>
      <w:r>
        <w:rPr>
          <w:rFonts w:ascii="Times New Roman" w:hAnsi="Times New Roman" w:eastAsia="Times New Roman" w:cs="Times New Roman"/>
        </w:rPr>
        <w:t xml:space="preserve"> </w:t>
      </w:r>
      <w:r>
        <w:t>八、知识产权保护</w:t>
      </w:r>
      <w:r>
        <w:rPr>
          <w:rFonts w:ascii="Times New Roman" w:hAnsi="Times New Roman" w:eastAsia="Times New Roman" w:cs="Times New Roman"/>
          <w:b/>
        </w:rPr>
        <w:t xml:space="preserve"> </w:t>
      </w:r>
    </w:p>
    <w:p>
      <w:pPr>
        <w:spacing w:after="319"/>
        <w:ind w:left="673"/>
      </w:pPr>
      <w:r>
        <w:rPr>
          <w:rFonts w:ascii="Times New Roman" w:hAnsi="Times New Roman" w:eastAsia="Times New Roman" w:cs="Times New Roman"/>
        </w:rPr>
        <w:t>1.</w:t>
      </w:r>
      <w:r>
        <w:t>中标人须保证所提供的软件均为正版，如招标人因此造成的损失由中标人全部承担。</w:t>
      </w:r>
      <w:r>
        <w:rPr>
          <w:rFonts w:ascii="Times New Roman" w:hAnsi="Times New Roman" w:eastAsia="Times New Roman" w:cs="Times New Roman"/>
        </w:rPr>
        <w:t xml:space="preserve"> </w:t>
      </w:r>
    </w:p>
    <w:p>
      <w:pPr>
        <w:spacing w:after="306" w:line="479" w:lineRule="auto"/>
        <w:ind w:left="172" w:firstLine="476"/>
        <w:rPr>
          <w:rFonts w:ascii="Times New Roman" w:hAnsi="Times New Roman" w:eastAsia="Times New Roman" w:cs="Times New Roman"/>
        </w:rPr>
      </w:pPr>
      <w:r>
        <w:rPr>
          <w:rFonts w:ascii="Times New Roman" w:hAnsi="Times New Roman" w:eastAsia="Times New Roman" w:cs="Times New Roman"/>
        </w:rPr>
        <w:t>2.</w:t>
      </w:r>
      <w:r>
        <w:t>未经对方书面同意，招标人、投（中）标人均不得将获取的对方企业的商业、技术秘密透露给第三方，否则由此引起的一切法律责任及损失均由违约方承担。</w:t>
      </w:r>
      <w:r>
        <w:rPr>
          <w:rFonts w:ascii="Times New Roman" w:hAnsi="Times New Roman" w:eastAsia="Times New Roman" w:cs="Times New Roman"/>
        </w:rPr>
        <w:t xml:space="preserve"> </w:t>
      </w:r>
    </w:p>
    <w:p>
      <w:pPr>
        <w:spacing w:after="306" w:line="479" w:lineRule="auto"/>
        <w:ind w:left="172" w:firstLine="476"/>
      </w:pPr>
      <w:r>
        <w:t>九、质保和服务要求</w:t>
      </w:r>
      <w:r>
        <w:rPr>
          <w:rFonts w:ascii="Times New Roman" w:hAnsi="Times New Roman" w:eastAsia="Times New Roman" w:cs="Times New Roman"/>
          <w:b/>
        </w:rPr>
        <w:t xml:space="preserve"> </w:t>
      </w:r>
    </w:p>
    <w:p>
      <w:pPr>
        <w:spacing w:after="316"/>
        <w:ind w:left="673"/>
      </w:pPr>
      <w:r>
        <w:rPr>
          <w:rFonts w:ascii="Times New Roman" w:hAnsi="Times New Roman" w:eastAsia="Times New Roman" w:cs="Times New Roman"/>
        </w:rPr>
        <w:t>1.</w:t>
      </w:r>
      <w:r>
        <w:t>质保要求</w:t>
      </w:r>
      <w:r>
        <w:rPr>
          <w:rFonts w:ascii="Times New Roman" w:hAnsi="Times New Roman" w:eastAsia="Times New Roman" w:cs="Times New Roman"/>
        </w:rPr>
        <w:t xml:space="preserve"> </w:t>
      </w:r>
    </w:p>
    <w:p>
      <w:pPr>
        <w:spacing w:after="307" w:line="479" w:lineRule="auto"/>
        <w:ind w:left="172" w:firstLine="476"/>
      </w:pPr>
      <w:r>
        <w:t>（</w:t>
      </w:r>
      <w:r>
        <w:rPr>
          <w:rFonts w:ascii="Times New Roman" w:hAnsi="Times New Roman" w:eastAsia="Times New Roman" w:cs="Times New Roman"/>
        </w:rPr>
        <w:t>1</w:t>
      </w:r>
      <w:r>
        <w:t xml:space="preserve">）质保期 </w:t>
      </w:r>
      <w:r>
        <w:rPr>
          <w:rFonts w:ascii="Times New Roman" w:hAnsi="Times New Roman" w:eastAsia="Times New Roman" w:cs="Times New Roman"/>
        </w:rPr>
        <w:t xml:space="preserve">3 </w:t>
      </w:r>
      <w:r>
        <w:t>年，从项目全部完成，验收合格之日开始计算质保期（含系统维护、技术咨询、软件版本升级以及其他相关维护保障工作）。</w:t>
      </w:r>
      <w:r>
        <w:rPr>
          <w:rFonts w:ascii="Times New Roman" w:hAnsi="Times New Roman" w:eastAsia="Times New Roman" w:cs="Times New Roman"/>
        </w:rPr>
        <w:t xml:space="preserve"> </w:t>
      </w:r>
    </w:p>
    <w:p>
      <w:pPr>
        <w:spacing w:after="307"/>
        <w:ind w:left="673"/>
        <w:rPr>
          <w:rFonts w:ascii="Times New Roman" w:hAnsi="Times New Roman" w:eastAsia="Times New Roman" w:cs="Times New Roman"/>
        </w:rPr>
      </w:pPr>
      <w:r>
        <w:t>（</w:t>
      </w:r>
      <w:r>
        <w:rPr>
          <w:rFonts w:ascii="Times New Roman" w:hAnsi="Times New Roman" w:eastAsia="Times New Roman" w:cs="Times New Roman"/>
        </w:rPr>
        <w:t>2</w:t>
      </w:r>
      <w:r>
        <w:t xml:space="preserve">）质保期内提供 </w:t>
      </w:r>
      <w:r>
        <w:rPr>
          <w:rFonts w:ascii="Times New Roman" w:hAnsi="Times New Roman" w:eastAsia="Times New Roman" w:cs="Times New Roman"/>
        </w:rPr>
        <w:t xml:space="preserve">7×24 </w:t>
      </w:r>
      <w:r>
        <w:t>小时线上服务，所有上门服务均不再收取费用。</w:t>
      </w:r>
      <w:r>
        <w:rPr>
          <w:rFonts w:ascii="Times New Roman" w:hAnsi="Times New Roman" w:eastAsia="Times New Roman" w:cs="Times New Roman"/>
        </w:rPr>
        <w:t xml:space="preserve"> </w:t>
      </w:r>
    </w:p>
    <w:p>
      <w:pPr>
        <w:spacing w:after="307"/>
        <w:ind w:left="673"/>
      </w:pPr>
      <w:r>
        <w:t>（</w:t>
      </w:r>
      <w:r>
        <w:rPr>
          <w:rFonts w:ascii="Times New Roman" w:hAnsi="Times New Roman" w:eastAsia="Times New Roman" w:cs="Times New Roman"/>
        </w:rPr>
        <w:t>3</w:t>
      </w:r>
      <w:r>
        <w:t>）软件故障保修的响应时间：接到系统出现问题的电话后，</w:t>
      </w:r>
      <w:r>
        <w:rPr>
          <w:rFonts w:ascii="Times New Roman" w:hAnsi="Times New Roman" w:eastAsia="Times New Roman" w:cs="Times New Roman"/>
        </w:rPr>
        <w:t xml:space="preserve">2 </w:t>
      </w:r>
      <w:r>
        <w:t xml:space="preserve">小时内给予答复。若电话中无法解决，应在 </w:t>
      </w:r>
      <w:r>
        <w:rPr>
          <w:rFonts w:ascii="Times New Roman" w:hAnsi="Times New Roman" w:eastAsia="Times New Roman" w:cs="Times New Roman"/>
        </w:rPr>
        <w:t xml:space="preserve">24 </w:t>
      </w:r>
      <w:r>
        <w:t>小时内到达现场进行维护支持。对于影响运行需要立即解决的重大故障，在接到报障电话</w:t>
      </w:r>
      <w:r>
        <w:rPr>
          <w:rFonts w:ascii="Times New Roman" w:hAnsi="Times New Roman" w:eastAsia="Times New Roman" w:cs="Times New Roman"/>
        </w:rPr>
        <w:t xml:space="preserve">12 </w:t>
      </w:r>
      <w:r>
        <w:t>小时内完全修复。确保系统的稳定运行，确保能够及时处理和解决问题，保障涉及用户服务的各项业务的开展。</w:t>
      </w:r>
      <w:r>
        <w:rPr>
          <w:rFonts w:ascii="Times New Roman" w:hAnsi="Times New Roman" w:eastAsia="Times New Roman" w:cs="Times New Roman"/>
        </w:rPr>
        <w:t xml:space="preserve"> </w:t>
      </w:r>
    </w:p>
    <w:p>
      <w:pPr>
        <w:spacing w:after="319"/>
        <w:ind w:left="673"/>
      </w:pPr>
      <w:r>
        <w:t>（</w:t>
      </w:r>
      <w:r>
        <w:rPr>
          <w:rFonts w:ascii="Times New Roman" w:hAnsi="Times New Roman" w:eastAsia="Times New Roman" w:cs="Times New Roman"/>
        </w:rPr>
        <w:t>4</w:t>
      </w:r>
      <w:r>
        <w:t>）质保期内，中标人须针对系统运行状况提供两次免费评估服务。</w:t>
      </w:r>
      <w:r>
        <w:rPr>
          <w:rFonts w:ascii="Times New Roman" w:hAnsi="Times New Roman" w:eastAsia="Times New Roman" w:cs="Times New Roman"/>
        </w:rPr>
        <w:t xml:space="preserve"> </w:t>
      </w:r>
    </w:p>
    <w:p>
      <w:pPr>
        <w:spacing w:after="318"/>
        <w:ind w:left="673"/>
      </w:pPr>
      <w:r>
        <w:t>（</w:t>
      </w:r>
      <w:r>
        <w:rPr>
          <w:rFonts w:ascii="Times New Roman" w:hAnsi="Times New Roman" w:eastAsia="Times New Roman" w:cs="Times New Roman"/>
          <w:b/>
        </w:rPr>
        <w:t>5</w:t>
      </w:r>
      <w:r>
        <w:t>）中标人对所开发的软件出现漏洞造成的故障，实行终身免费修改维护。</w:t>
      </w:r>
      <w:r>
        <w:rPr>
          <w:rFonts w:ascii="Times New Roman" w:hAnsi="Times New Roman" w:eastAsia="Times New Roman" w:cs="Times New Roman"/>
          <w:sz w:val="22"/>
        </w:rPr>
        <w:t xml:space="preserve"> </w:t>
      </w:r>
    </w:p>
    <w:p>
      <w:pPr>
        <w:spacing w:after="317"/>
        <w:ind w:left="673"/>
      </w:pPr>
      <w:r>
        <w:rPr>
          <w:rFonts w:ascii="Times New Roman" w:hAnsi="Times New Roman" w:eastAsia="Times New Roman" w:cs="Times New Roman"/>
        </w:rPr>
        <w:t>2.</w:t>
      </w:r>
      <w:r>
        <w:t>项目人员要求</w:t>
      </w:r>
      <w:r>
        <w:rPr>
          <w:rFonts w:ascii="Times New Roman" w:hAnsi="Times New Roman" w:eastAsia="Times New Roman" w:cs="Times New Roman"/>
        </w:rPr>
        <w:t xml:space="preserve"> </w:t>
      </w:r>
    </w:p>
    <w:p>
      <w:pPr>
        <w:spacing w:after="307" w:line="479" w:lineRule="auto"/>
        <w:ind w:left="172" w:firstLine="476"/>
        <w:rPr>
          <w:rFonts w:ascii="Times New Roman" w:hAnsi="Times New Roman" w:eastAsia="Times New Roman" w:cs="Times New Roman"/>
        </w:rPr>
      </w:pPr>
      <w:r>
        <w:t>（</w:t>
      </w:r>
      <w:r>
        <w:rPr>
          <w:rFonts w:ascii="Times New Roman" w:hAnsi="Times New Roman" w:eastAsia="Times New Roman" w:cs="Times New Roman"/>
        </w:rPr>
        <w:t>1</w:t>
      </w:r>
      <w:r>
        <w:t>）未经招标人书面同意，中标人不得更换项目负责人和项目组成员。中标人擅自更换项目负责人影响项目实施的，招标人有权终止合同，扣除全部履约保证金，由此造成的全部损失和责任由中标人承担。</w:t>
      </w:r>
      <w:r>
        <w:rPr>
          <w:rFonts w:ascii="Times New Roman" w:hAnsi="Times New Roman" w:eastAsia="Times New Roman" w:cs="Times New Roman"/>
        </w:rPr>
        <w:t xml:space="preserve"> </w:t>
      </w:r>
    </w:p>
    <w:p>
      <w:pPr>
        <w:spacing w:after="307" w:line="479" w:lineRule="auto"/>
        <w:ind w:left="172" w:firstLine="476"/>
        <w:rPr>
          <w:rFonts w:ascii="Times New Roman" w:hAnsi="Times New Roman" w:eastAsia="Times New Roman" w:cs="Times New Roman"/>
        </w:rPr>
      </w:pPr>
    </w:p>
    <w:p>
      <w:pPr>
        <w:spacing w:after="307" w:line="479" w:lineRule="auto"/>
        <w:ind w:left="172" w:firstLine="476"/>
      </w:pPr>
    </w:p>
    <w:p>
      <w:pPr>
        <w:spacing w:after="316"/>
        <w:ind w:left="673"/>
      </w:pPr>
      <w:r>
        <w:rPr>
          <w:rFonts w:ascii="Times New Roman" w:hAnsi="Times New Roman" w:eastAsia="Times New Roman" w:cs="Times New Roman"/>
        </w:rPr>
        <w:t>3.</w:t>
      </w:r>
      <w:r>
        <w:t>培训要求</w:t>
      </w:r>
      <w:r>
        <w:rPr>
          <w:rFonts w:ascii="Times New Roman" w:hAnsi="Times New Roman" w:eastAsia="Times New Roman" w:cs="Times New Roman"/>
        </w:rPr>
        <w:t xml:space="preserve"> </w:t>
      </w:r>
    </w:p>
    <w:p>
      <w:pPr>
        <w:spacing w:after="0" w:line="479" w:lineRule="auto"/>
        <w:ind w:left="172" w:right="158" w:firstLine="476"/>
      </w:pPr>
      <w:r>
        <w:t>中标人应负责安排对招标人操作人员、系统维护人员进行培训以确保招标人人员全面理解系统、熟练操作，系统维护人员应能完成各项系统维护工作。</w:t>
      </w:r>
      <w:r>
        <w:rPr>
          <w:rFonts w:ascii="Times New Roman" w:hAnsi="Times New Roman" w:eastAsia="Times New Roman" w:cs="Times New Roman"/>
        </w:rPr>
        <w:t xml:space="preserve"> </w:t>
      </w:r>
      <w:r>
        <w:t>要求中标人为招标人设计一个专门的培训计划，培训不同层面的使用人员。培训计划包括但不限于以下内容：</w:t>
      </w:r>
      <w:r>
        <w:rPr>
          <w:rFonts w:ascii="Times New Roman" w:hAnsi="Times New Roman" w:eastAsia="Times New Roman" w:cs="Times New Roman"/>
        </w:rPr>
        <w:t xml:space="preserve">           </w:t>
      </w:r>
      <w:r>
        <w:t>（</w:t>
      </w:r>
      <w:r>
        <w:rPr>
          <w:rFonts w:ascii="Times New Roman" w:hAnsi="Times New Roman" w:eastAsia="Times New Roman" w:cs="Times New Roman"/>
        </w:rPr>
        <w:t>1</w:t>
      </w:r>
      <w:r>
        <w:t>）数据库系统开发人员培训</w:t>
      </w:r>
      <w:r>
        <w:rPr>
          <w:rFonts w:ascii="Times New Roman" w:hAnsi="Times New Roman" w:eastAsia="Times New Roman" w:cs="Times New Roman"/>
        </w:rPr>
        <w:t xml:space="preserve"> </w:t>
      </w:r>
      <w:r>
        <w:t>提供完整的数据库管理课程培训，完成课程后能熟练掌握系统数据库管理，并能进行对数据库维护、设计和开发。</w:t>
      </w:r>
      <w:r>
        <w:rPr>
          <w:rFonts w:ascii="Times New Roman" w:hAnsi="Times New Roman" w:eastAsia="Times New Roman" w:cs="Times New Roman"/>
        </w:rPr>
        <w:t xml:space="preserve"> </w:t>
      </w:r>
    </w:p>
    <w:p>
      <w:pPr>
        <w:spacing w:after="307" w:line="479" w:lineRule="auto"/>
      </w:pPr>
      <w:r>
        <w:t>（</w:t>
      </w:r>
      <w:r>
        <w:rPr>
          <w:rFonts w:ascii="Times New Roman" w:hAnsi="Times New Roman" w:eastAsia="Times New Roman" w:cs="Times New Roman"/>
        </w:rPr>
        <w:t>2</w:t>
      </w:r>
      <w:r>
        <w:t>）操作人员培训</w:t>
      </w:r>
      <w:r>
        <w:rPr>
          <w:rFonts w:ascii="Times New Roman" w:hAnsi="Times New Roman" w:eastAsia="Times New Roman" w:cs="Times New Roman"/>
        </w:rPr>
        <w:t xml:space="preserve"> </w:t>
      </w:r>
      <w:r>
        <w:t>提供完整的操作人员培训，完成课程后能够熟练掌握相应系统功能的操作。</w:t>
      </w:r>
      <w:r>
        <w:rPr>
          <w:rFonts w:ascii="Times New Roman" w:hAnsi="Times New Roman" w:eastAsia="Times New Roman" w:cs="Times New Roman"/>
        </w:rPr>
        <w:t xml:space="preserve"> </w:t>
      </w:r>
    </w:p>
    <w:p>
      <w:pPr>
        <w:spacing w:after="307" w:line="479" w:lineRule="auto"/>
        <w:rPr>
          <w:rFonts w:ascii="Times New Roman" w:hAnsi="Times New Roman" w:eastAsia="Times New Roman" w:cs="Times New Roman"/>
        </w:rPr>
      </w:pPr>
      <w:r>
        <w:t>（</w:t>
      </w:r>
      <w:r>
        <w:rPr>
          <w:rFonts w:ascii="Times New Roman" w:hAnsi="Times New Roman" w:eastAsia="Times New Roman" w:cs="Times New Roman"/>
        </w:rPr>
        <w:t>3</w:t>
      </w:r>
      <w:r>
        <w:t>）系统管理员培训</w:t>
      </w:r>
      <w:r>
        <w:rPr>
          <w:rFonts w:ascii="Times New Roman" w:hAnsi="Times New Roman" w:eastAsia="Times New Roman" w:cs="Times New Roman"/>
        </w:rPr>
        <w:t xml:space="preserve"> </w:t>
      </w:r>
      <w:r>
        <w:t>提供完整的系统管理员培训，包括系统的安装、使用、配置、维护和相关数据库、平台、组态画面开发等内容。并根据需求说明书和招标人要求，制定使用手册和相关规章制度。</w:t>
      </w:r>
      <w:r>
        <w:rPr>
          <w:rFonts w:ascii="Times New Roman" w:hAnsi="Times New Roman" w:eastAsia="Times New Roman" w:cs="Times New Roman"/>
        </w:rPr>
        <w:t xml:space="preserve"> </w:t>
      </w:r>
    </w:p>
    <w:p>
      <w:pPr>
        <w:spacing w:after="316"/>
        <w:ind w:left="673"/>
      </w:pPr>
      <w:r>
        <w:rPr>
          <w:rFonts w:ascii="Times New Roman" w:hAnsi="Times New Roman" w:eastAsia="Times New Roman" w:cs="Times New Roman"/>
        </w:rPr>
        <w:t>4.</w:t>
      </w:r>
      <w:r>
        <w:t>技术服务</w:t>
      </w:r>
      <w:r>
        <w:rPr>
          <w:rFonts w:ascii="Times New Roman" w:hAnsi="Times New Roman" w:eastAsia="Times New Roman" w:cs="Times New Roman"/>
        </w:rPr>
        <w:t xml:space="preserve"> </w:t>
      </w:r>
    </w:p>
    <w:p>
      <w:pPr>
        <w:spacing w:after="306" w:line="479" w:lineRule="auto"/>
        <w:ind w:left="172" w:firstLine="0"/>
      </w:pPr>
      <w:r>
        <w:t>（</w:t>
      </w:r>
      <w:r>
        <w:rPr>
          <w:rFonts w:ascii="Times New Roman" w:hAnsi="Times New Roman" w:eastAsia="Times New Roman" w:cs="Times New Roman"/>
        </w:rPr>
        <w:t>1</w:t>
      </w:r>
      <w:r>
        <w:t>）现场服务：在项目建设期间，中标人安排专人常驻项目为招标人服务，服务内容包括但不限于：</w:t>
      </w:r>
      <w:r>
        <w:rPr>
          <w:rFonts w:cs="Times New Roman" w:asciiTheme="minorEastAsia" w:hAnsiTheme="minorEastAsia" w:eastAsiaTheme="minorEastAsia"/>
        </w:rPr>
        <w:t>现有财务</w:t>
      </w:r>
      <w:r>
        <w:t>系统互联互通、统一物资编码规则等。</w:t>
      </w:r>
      <w:r>
        <w:rPr>
          <w:rFonts w:ascii="Times New Roman" w:hAnsi="Times New Roman" w:eastAsia="Times New Roman" w:cs="Times New Roman"/>
        </w:rPr>
        <w:t xml:space="preserve"> </w:t>
      </w:r>
    </w:p>
    <w:p>
      <w:pPr>
        <w:spacing w:after="307" w:line="479" w:lineRule="auto"/>
        <w:ind w:left="172" w:firstLine="0"/>
      </w:pPr>
      <w:r>
        <w:t>（</w:t>
      </w:r>
      <w:r>
        <w:rPr>
          <w:rFonts w:ascii="Times New Roman" w:hAnsi="Times New Roman" w:eastAsia="Times New Roman" w:cs="Times New Roman"/>
        </w:rPr>
        <w:t>2</w:t>
      </w:r>
      <w:r>
        <w:t>）升级服务：提出在正常条件下保证系统正常稳定运行的系统扩充、版本更新升级及功能更新服务措施。</w:t>
      </w:r>
      <w:r>
        <w:rPr>
          <w:rFonts w:ascii="Times New Roman" w:hAnsi="Times New Roman" w:eastAsia="Times New Roman" w:cs="Times New Roman"/>
        </w:rPr>
        <w:t xml:space="preserve"> </w:t>
      </w:r>
    </w:p>
    <w:p>
      <w:pPr>
        <w:spacing w:after="307" w:line="479" w:lineRule="auto"/>
        <w:ind w:left="172" w:firstLine="0"/>
      </w:pPr>
      <w:r>
        <w:t>（</w:t>
      </w:r>
      <w:r>
        <w:rPr>
          <w:rFonts w:ascii="Times New Roman" w:hAnsi="Times New Roman" w:eastAsia="Times New Roman" w:cs="Times New Roman"/>
        </w:rPr>
        <w:t>3</w:t>
      </w:r>
      <w:r>
        <w:t>）优化服务：提出在正常条件下改进系统性能的各项建议，包括系统资源分配与效率改进建议、软件配置规划和性能优化建议、系统容量预测建议等。</w:t>
      </w:r>
      <w:r>
        <w:rPr>
          <w:rFonts w:ascii="Times New Roman" w:hAnsi="Times New Roman" w:eastAsia="Times New Roman" w:cs="Times New Roman"/>
        </w:rPr>
        <w:t xml:space="preserve"> </w:t>
      </w:r>
    </w:p>
    <w:p>
      <w:pPr>
        <w:spacing w:after="0"/>
        <w:rPr>
          <w:rFonts w:ascii="Arial" w:hAnsi="Arial" w:eastAsia="Arial" w:cs="Arial"/>
        </w:rPr>
      </w:pPr>
      <w:r>
        <w:t>（</w:t>
      </w:r>
      <w:r>
        <w:rPr>
          <w:rFonts w:ascii="Times New Roman" w:hAnsi="Times New Roman" w:eastAsia="Times New Roman" w:cs="Times New Roman"/>
          <w:b/>
        </w:rPr>
        <w:t>4</w:t>
      </w:r>
      <w:r>
        <w:t>）咨询服务：终身提供免费的系统软件应用和维护技术咨询服务。</w:t>
      </w:r>
      <w:r>
        <w:rPr>
          <w:rFonts w:ascii="Arial" w:hAnsi="Arial" w:eastAsia="Arial" w:cs="Arial"/>
        </w:rPr>
        <w:t xml:space="preserve"> </w:t>
      </w:r>
    </w:p>
    <w:p>
      <w:pPr>
        <w:spacing w:after="0"/>
        <w:ind w:left="745"/>
        <w:rPr>
          <w:rFonts w:ascii="Arial" w:hAnsi="Arial" w:eastAsia="Arial" w:cs="Arial"/>
        </w:rPr>
      </w:pPr>
    </w:p>
    <w:p>
      <w:pPr>
        <w:spacing w:after="0"/>
        <w:ind w:left="745"/>
        <w:rPr>
          <w:rFonts w:ascii="Arial" w:hAnsi="Arial" w:eastAsia="Arial" w:cs="Arial"/>
        </w:rPr>
      </w:pPr>
    </w:p>
    <w:p>
      <w:pPr>
        <w:spacing w:after="0"/>
        <w:ind w:left="745"/>
        <w:rPr>
          <w:rFonts w:ascii="Arial" w:hAnsi="Arial" w:eastAsia="Arial" w:cs="Arial"/>
        </w:rPr>
      </w:pPr>
    </w:p>
    <w:p>
      <w:pPr>
        <w:pStyle w:val="2"/>
      </w:pPr>
      <w:bookmarkStart w:id="10" w:name="_Toc87528832"/>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3200" w:firstLineChars="1000"/>
        <w:jc w:val="both"/>
      </w:pPr>
      <w:r>
        <w:t xml:space="preserve">第五章 </w:t>
      </w:r>
      <w:r>
        <w:rPr>
          <w:rFonts w:hint="eastAsia" w:cs="微软雅黑" w:asciiTheme="minorEastAsia" w:hAnsiTheme="minorEastAsia" w:eastAsiaTheme="minorEastAsia"/>
        </w:rPr>
        <w:t>招标</w:t>
      </w:r>
      <w:r>
        <w:rPr>
          <w:rFonts w:asciiTheme="minorEastAsia" w:hAnsiTheme="minorEastAsia" w:eastAsiaTheme="minorEastAsia"/>
        </w:rPr>
        <w:t>与评审办法</w:t>
      </w:r>
      <w:bookmarkEnd w:id="10"/>
      <w:r>
        <w:rPr>
          <w:rFonts w:asciiTheme="minorEastAsia" w:hAnsiTheme="minorEastAsia" w:eastAsiaTheme="minorEastAsia"/>
          <w:sz w:val="24"/>
        </w:rPr>
        <w:t xml:space="preserve"> </w:t>
      </w:r>
    </w:p>
    <w:p>
      <w:pPr>
        <w:spacing w:line="387" w:lineRule="auto"/>
        <w:ind w:left="172" w:firstLine="418"/>
      </w:pPr>
      <w:r>
        <w:t>1.为了做好</w:t>
      </w:r>
      <w:r>
        <w:rPr>
          <w:rFonts w:hint="eastAsia" w:eastAsiaTheme="minorEastAsia"/>
        </w:rPr>
        <w:t>长丰供水</w:t>
      </w:r>
      <w:r>
        <w:t>集团</w:t>
      </w:r>
      <w:r>
        <w:rPr>
          <w:rFonts w:hint="eastAsia" w:eastAsiaTheme="minorEastAsia"/>
        </w:rPr>
        <w:t>W</w:t>
      </w:r>
      <w:r>
        <w:rPr>
          <w:rFonts w:eastAsiaTheme="minorEastAsia"/>
        </w:rPr>
        <w:t>MS</w:t>
      </w:r>
      <w:r>
        <w:t xml:space="preserve">智能仓储管理系统建设的招标与评审工作，保证项目评审工作的正常有序进行，维护招标人、投标人的合法权益，依据《中华人民共和国招标投标法》、《中华人民共和国招标投标法实施条例》及其它相关法律法规，本着公开、公平、公正的原则，制定招标与评审办法。 </w:t>
      </w:r>
    </w:p>
    <w:p>
      <w:pPr>
        <w:ind w:left="615"/>
      </w:pPr>
      <w:r>
        <w:t xml:space="preserve">2.本次项目招标与评审采用综合评分法作为对投标人响应文件的比较方法。 </w:t>
      </w:r>
    </w:p>
    <w:p>
      <w:pPr>
        <w:ind w:left="615"/>
      </w:pPr>
      <w:r>
        <w:t xml:space="preserve">3.本项目将依法组建招标小组，负责本项目的招标与评审工作。 </w:t>
      </w:r>
    </w:p>
    <w:p>
      <w:pPr>
        <w:spacing w:line="383" w:lineRule="auto"/>
        <w:ind w:left="172" w:firstLine="476"/>
      </w:pPr>
      <w:r>
        <w:t xml:space="preserve">4.招标小组按照“客观公正，实事求是”的原则，评价参加本次招标的投标人所提供的产品或服务价格、性能、质量、服务及对招标文件的符合性及响应性。 </w:t>
      </w:r>
    </w:p>
    <w:p>
      <w:pPr>
        <w:ind w:left="673"/>
      </w:pPr>
      <w:r>
        <w:t xml:space="preserve">5.招标小组应认真研究招标文件，至少应了解和熟悉以下内容： </w:t>
      </w:r>
    </w:p>
    <w:p>
      <w:pPr>
        <w:ind w:left="673"/>
      </w:pPr>
      <w:r>
        <w:t xml:space="preserve">5.1招标的目标； </w:t>
      </w:r>
    </w:p>
    <w:p>
      <w:pPr>
        <w:ind w:left="673"/>
      </w:pPr>
      <w:r>
        <w:t xml:space="preserve">5.2招标项目的范围和性质； </w:t>
      </w:r>
    </w:p>
    <w:p>
      <w:pPr>
        <w:ind w:left="673"/>
      </w:pPr>
      <w:r>
        <w:t xml:space="preserve">5.3招标文件中规定的主要技术要求、标准和商务条款； </w:t>
      </w:r>
    </w:p>
    <w:p>
      <w:pPr>
        <w:ind w:left="673"/>
      </w:pPr>
      <w:r>
        <w:t xml:space="preserve">5.4招标文件规定的评审标准、评审方法和在评审过程中考虑的相关因素。 </w:t>
      </w:r>
    </w:p>
    <w:p>
      <w:pPr>
        <w:ind w:left="673"/>
      </w:pPr>
      <w:r>
        <w:t xml:space="preserve">6.有效投标应符合以下原则： </w:t>
      </w:r>
    </w:p>
    <w:p>
      <w:pPr>
        <w:ind w:left="673"/>
      </w:pPr>
      <w:r>
        <w:t xml:space="preserve">6.1满足招标文件的实质性要求； </w:t>
      </w:r>
    </w:p>
    <w:p>
      <w:pPr>
        <w:ind w:left="673"/>
      </w:pPr>
      <w:r>
        <w:t xml:space="preserve">6.2无重大偏离、保留或招标人不能接受的附加条件； </w:t>
      </w:r>
    </w:p>
    <w:p>
      <w:pPr>
        <w:ind w:left="673"/>
      </w:pPr>
      <w:r>
        <w:t xml:space="preserve">6.3通过投标有效性评审； </w:t>
      </w:r>
    </w:p>
    <w:p>
      <w:pPr>
        <w:ind w:left="673"/>
      </w:pPr>
      <w:r>
        <w:t xml:space="preserve">6.4招标小组依据招标文件认定的其他原则。 </w:t>
      </w:r>
    </w:p>
    <w:p>
      <w:pPr>
        <w:ind w:left="673"/>
      </w:pPr>
      <w:r>
        <w:t xml:space="preserve">7.招标小组对所有响应文件均采用相同程序和标准，进行评定。 </w:t>
      </w:r>
    </w:p>
    <w:p>
      <w:pPr>
        <w:spacing w:line="391" w:lineRule="auto"/>
        <w:ind w:left="172" w:firstLine="476"/>
      </w:pPr>
      <w:r>
        <w:t xml:space="preserve">8.招标小组发现投标人的响应文件中对同类问题表述不一致、前后矛盾、有明显文字和计算错误的内容、有可能不符合招标文件规定等情况需要澄清时，招标小组将以询标的方式告知并要求投标人进行必要的澄清、说明或补正。 对于询标后判定的结论（如通过或不通过），招标小组应提出充足的理由，根据招标文件给定的评审指标进行判定，并予以书面记录。 招标小组独立评审后，对投标人某项评审指标如有不同意见，按照少数服从多数的原则，确定该项评审指标的最终结论。 </w:t>
      </w:r>
    </w:p>
    <w:p>
      <w:pPr>
        <w:ind w:left="673"/>
      </w:pPr>
      <w:r>
        <w:t xml:space="preserve">9.招标与评审程序 本项目采用综合评分法进行评审，在最大限度地满足招标文件实质性要求前提下，按照招标文件中规定的各项因素进行综合评审。综合评分法的主要因素是：技术部分、商务部分以及相应的比重。 评标委员会遵循规定的评审原则，对投标人进行初审、详细评审、商务部分得分计算和确定中标候选人。 </w:t>
      </w:r>
    </w:p>
    <w:p>
      <w:pPr>
        <w:ind w:left="745"/>
      </w:pPr>
      <w:r>
        <w:t xml:space="preserve">9.1初审 </w:t>
      </w:r>
    </w:p>
    <w:p>
      <w:pPr>
        <w:ind w:left="615"/>
      </w:pPr>
      <w:r>
        <w:t xml:space="preserve">评标委员会按下表内容对所有投标人进行初审： </w:t>
      </w:r>
    </w:p>
    <w:tbl>
      <w:tblPr>
        <w:tblStyle w:val="11"/>
        <w:tblW w:w="9645" w:type="dxa"/>
        <w:tblInd w:w="65" w:type="dxa"/>
        <w:tblLayout w:type="autofit"/>
        <w:tblCellMar>
          <w:top w:w="0" w:type="dxa"/>
          <w:left w:w="109" w:type="dxa"/>
          <w:bottom w:w="0" w:type="dxa"/>
          <w:right w:w="0" w:type="dxa"/>
        </w:tblCellMar>
      </w:tblPr>
      <w:tblGrid>
        <w:gridCol w:w="764"/>
        <w:gridCol w:w="2739"/>
        <w:gridCol w:w="2422"/>
        <w:gridCol w:w="865"/>
        <w:gridCol w:w="2855"/>
      </w:tblGrid>
      <w:tr>
        <w:tblPrEx>
          <w:tblCellMar>
            <w:top w:w="0" w:type="dxa"/>
            <w:left w:w="109" w:type="dxa"/>
            <w:bottom w:w="0" w:type="dxa"/>
            <w:right w:w="0" w:type="dxa"/>
          </w:tblCellMar>
        </w:tblPrEx>
        <w:trPr>
          <w:trHeight w:val="634" w:hRule="atLeast"/>
        </w:trPr>
        <w:tc>
          <w:tcPr>
            <w:tcW w:w="9645" w:type="dxa"/>
            <w:gridSpan w:val="5"/>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初审表（废标指标一览表） </w:t>
            </w:r>
          </w:p>
        </w:tc>
      </w:tr>
      <w:tr>
        <w:tblPrEx>
          <w:tblCellMar>
            <w:top w:w="0" w:type="dxa"/>
            <w:left w:w="109" w:type="dxa"/>
            <w:bottom w:w="0" w:type="dxa"/>
            <w:right w:w="0" w:type="dxa"/>
          </w:tblCellMar>
        </w:tblPrEx>
        <w:trPr>
          <w:trHeight w:val="937" w:hRule="atLeast"/>
        </w:trPr>
        <w:tc>
          <w:tcPr>
            <w:tcW w:w="764" w:type="dxa"/>
            <w:tcBorders>
              <w:top w:val="single" w:color="000000" w:sz="6" w:space="0"/>
              <w:left w:val="single" w:color="000000" w:sz="6" w:space="0"/>
              <w:bottom w:val="single" w:color="000000" w:sz="6" w:space="0"/>
              <w:right w:val="single" w:color="000000" w:sz="6" w:space="0"/>
            </w:tcBorders>
          </w:tcPr>
          <w:p>
            <w:pPr>
              <w:spacing w:after="0" w:line="276" w:lineRule="auto"/>
              <w:ind w:left="43" w:right="0" w:firstLine="0"/>
              <w:jc w:val="both"/>
            </w:pPr>
            <w:r>
              <w:t xml:space="preserve">序号 </w:t>
            </w:r>
          </w:p>
        </w:tc>
        <w:tc>
          <w:tcPr>
            <w:tcW w:w="273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指标名称 </w:t>
            </w:r>
          </w:p>
        </w:tc>
        <w:tc>
          <w:tcPr>
            <w:tcW w:w="242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指标要求 </w:t>
            </w:r>
          </w:p>
        </w:tc>
        <w:tc>
          <w:tcPr>
            <w:tcW w:w="86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是否通过 </w:t>
            </w:r>
          </w:p>
        </w:tc>
        <w:tc>
          <w:tcPr>
            <w:tcW w:w="28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响应文件格式及提交资料要求 </w:t>
            </w:r>
          </w:p>
        </w:tc>
      </w:tr>
      <w:tr>
        <w:tblPrEx>
          <w:tblCellMar>
            <w:top w:w="0" w:type="dxa"/>
            <w:left w:w="109" w:type="dxa"/>
            <w:bottom w:w="0" w:type="dxa"/>
            <w:right w:w="0" w:type="dxa"/>
          </w:tblCellMar>
        </w:tblPrEx>
        <w:trPr>
          <w:trHeight w:val="2118" w:hRule="atLeast"/>
        </w:trPr>
        <w:tc>
          <w:tcPr>
            <w:tcW w:w="76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1 </w:t>
            </w:r>
          </w:p>
        </w:tc>
        <w:tc>
          <w:tcPr>
            <w:tcW w:w="273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营业执照或事业单位法人证书 </w:t>
            </w:r>
          </w:p>
        </w:tc>
        <w:tc>
          <w:tcPr>
            <w:tcW w:w="242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合法有效 </w:t>
            </w:r>
          </w:p>
        </w:tc>
        <w:tc>
          <w:tcPr>
            <w:tcW w:w="86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8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提供有效的营业执照（或事业单位法人证书）的扫描件，应完整的体现出营业执照（或事业单位法人证书）的全部内容。 </w:t>
            </w:r>
          </w:p>
        </w:tc>
      </w:tr>
      <w:tr>
        <w:tblPrEx>
          <w:tblCellMar>
            <w:top w:w="0" w:type="dxa"/>
            <w:left w:w="109" w:type="dxa"/>
            <w:bottom w:w="0" w:type="dxa"/>
            <w:right w:w="0" w:type="dxa"/>
          </w:tblCellMar>
        </w:tblPrEx>
        <w:trPr>
          <w:trHeight w:val="779" w:hRule="atLeast"/>
        </w:trPr>
        <w:tc>
          <w:tcPr>
            <w:tcW w:w="76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2 </w:t>
            </w:r>
          </w:p>
        </w:tc>
        <w:tc>
          <w:tcPr>
            <w:tcW w:w="273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投标函 </w:t>
            </w:r>
          </w:p>
        </w:tc>
        <w:tc>
          <w:tcPr>
            <w:tcW w:w="242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30" w:right="0" w:firstLine="0"/>
            </w:pPr>
            <w:r>
              <w:t xml:space="preserve">符合招标文件要求 </w:t>
            </w:r>
          </w:p>
        </w:tc>
        <w:tc>
          <w:tcPr>
            <w:tcW w:w="86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8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9" w:type="dxa"/>
            <w:bottom w:w="0" w:type="dxa"/>
            <w:right w:w="0" w:type="dxa"/>
          </w:tblCellMar>
        </w:tblPrEx>
        <w:trPr>
          <w:trHeight w:val="850" w:hRule="atLeast"/>
        </w:trPr>
        <w:tc>
          <w:tcPr>
            <w:tcW w:w="76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3 </w:t>
            </w:r>
          </w:p>
        </w:tc>
        <w:tc>
          <w:tcPr>
            <w:tcW w:w="2739"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t xml:space="preserve">投标授权书 </w:t>
            </w:r>
          </w:p>
        </w:tc>
        <w:tc>
          <w:tcPr>
            <w:tcW w:w="2422"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130" w:right="0" w:firstLine="0"/>
            </w:pPr>
            <w:r>
              <w:t xml:space="preserve">符合招标文件要求 </w:t>
            </w:r>
          </w:p>
        </w:tc>
        <w:tc>
          <w:tcPr>
            <w:tcW w:w="865"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t xml:space="preserve"> </w:t>
            </w:r>
          </w:p>
        </w:tc>
        <w:tc>
          <w:tcPr>
            <w:tcW w:w="2855" w:type="dxa"/>
            <w:tcBorders>
              <w:top w:val="single" w:color="000000" w:sz="6" w:space="0"/>
              <w:left w:val="single" w:color="000000" w:sz="6" w:space="0"/>
              <w:bottom w:val="single" w:color="000000" w:sz="6" w:space="0"/>
              <w:right w:val="single" w:color="000000" w:sz="6" w:space="0"/>
            </w:tcBorders>
          </w:tcPr>
          <w:p>
            <w:pPr>
              <w:spacing w:after="161" w:line="240" w:lineRule="auto"/>
              <w:ind w:left="0" w:right="0" w:firstLine="0"/>
              <w:jc w:val="both"/>
            </w:pPr>
            <w:r>
              <w:t>详见第七章响应文件格式</w:t>
            </w:r>
          </w:p>
          <w:p>
            <w:pPr>
              <w:spacing w:after="0" w:line="276" w:lineRule="auto"/>
              <w:ind w:left="0" w:right="0" w:firstLine="0"/>
              <w:jc w:val="center"/>
            </w:pPr>
            <w:r>
              <w:t xml:space="preserve">“投标授权书” </w:t>
            </w:r>
          </w:p>
        </w:tc>
      </w:tr>
      <w:tr>
        <w:tblPrEx>
          <w:tblCellMar>
            <w:top w:w="0" w:type="dxa"/>
            <w:left w:w="109" w:type="dxa"/>
            <w:bottom w:w="0" w:type="dxa"/>
            <w:right w:w="0" w:type="dxa"/>
          </w:tblCellMar>
        </w:tblPrEx>
        <w:trPr>
          <w:trHeight w:val="2119" w:hRule="atLeast"/>
        </w:trPr>
        <w:tc>
          <w:tcPr>
            <w:tcW w:w="76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4 </w:t>
            </w:r>
          </w:p>
        </w:tc>
        <w:tc>
          <w:tcPr>
            <w:tcW w:w="273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288" w:right="0" w:firstLine="0"/>
            </w:pPr>
            <w:r>
              <w:t xml:space="preserve">招标文件获取情况 </w:t>
            </w:r>
          </w:p>
        </w:tc>
        <w:tc>
          <w:tcPr>
            <w:tcW w:w="242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未在招标文件获取截止时间前完成招标文件规定获取手续的，投标无效（核查招标文件获取手续） </w:t>
            </w:r>
          </w:p>
        </w:tc>
        <w:tc>
          <w:tcPr>
            <w:tcW w:w="86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85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9" w:type="dxa"/>
            <w:bottom w:w="0" w:type="dxa"/>
            <w:right w:w="0" w:type="dxa"/>
          </w:tblCellMar>
        </w:tblPrEx>
        <w:trPr>
          <w:trHeight w:val="951" w:hRule="atLeast"/>
        </w:trPr>
        <w:tc>
          <w:tcPr>
            <w:tcW w:w="76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5 </w:t>
            </w:r>
          </w:p>
        </w:tc>
        <w:tc>
          <w:tcPr>
            <w:tcW w:w="273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投标人信用承诺 </w:t>
            </w:r>
          </w:p>
        </w:tc>
        <w:tc>
          <w:tcPr>
            <w:tcW w:w="2422" w:type="dxa"/>
            <w:tcBorders>
              <w:top w:val="single" w:color="000000" w:sz="6" w:space="0"/>
              <w:left w:val="single" w:color="000000" w:sz="6" w:space="0"/>
              <w:bottom w:val="single" w:color="000000" w:sz="6" w:space="0"/>
              <w:right w:val="single" w:color="000000" w:sz="6" w:space="0"/>
            </w:tcBorders>
          </w:tcPr>
          <w:p>
            <w:pPr>
              <w:spacing w:after="0" w:line="276" w:lineRule="auto"/>
              <w:ind w:left="130" w:right="0" w:firstLine="0"/>
            </w:pPr>
            <w:r>
              <w:t xml:space="preserve">符合招标文件要求 </w:t>
            </w:r>
          </w:p>
        </w:tc>
        <w:tc>
          <w:tcPr>
            <w:tcW w:w="86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2855" w:type="dxa"/>
            <w:tcBorders>
              <w:top w:val="single" w:color="000000" w:sz="6" w:space="0"/>
              <w:left w:val="single" w:color="000000" w:sz="6" w:space="0"/>
              <w:bottom w:val="single" w:color="000000" w:sz="6" w:space="0"/>
              <w:right w:val="single" w:color="000000" w:sz="6" w:space="0"/>
            </w:tcBorders>
          </w:tcPr>
          <w:p>
            <w:pPr>
              <w:spacing w:line="240" w:lineRule="auto"/>
              <w:ind w:left="0" w:right="0" w:firstLine="0"/>
              <w:jc w:val="both"/>
            </w:pPr>
            <w:r>
              <w:t>详见第七章响应文件格式</w:t>
            </w:r>
          </w:p>
          <w:p>
            <w:pPr>
              <w:spacing w:after="0" w:line="276" w:lineRule="auto"/>
              <w:ind w:left="158" w:right="0" w:firstLine="0"/>
            </w:pPr>
            <w:r>
              <w:t xml:space="preserve">“投标人信用承诺”。 </w:t>
            </w:r>
          </w:p>
        </w:tc>
      </w:tr>
      <w:tr>
        <w:tblPrEx>
          <w:tblCellMar>
            <w:top w:w="0" w:type="dxa"/>
            <w:left w:w="109" w:type="dxa"/>
            <w:bottom w:w="0" w:type="dxa"/>
            <w:right w:w="0" w:type="dxa"/>
          </w:tblCellMar>
        </w:tblPrEx>
        <w:trPr>
          <w:trHeight w:val="1268" w:hRule="atLeast"/>
        </w:trPr>
        <w:tc>
          <w:tcPr>
            <w:tcW w:w="76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6 </w:t>
            </w:r>
          </w:p>
        </w:tc>
        <w:tc>
          <w:tcPr>
            <w:tcW w:w="273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未出现异常情形 </w:t>
            </w:r>
          </w:p>
        </w:tc>
        <w:tc>
          <w:tcPr>
            <w:tcW w:w="242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不同投标人未出现使用相同的机器识别码进行投标的情形 </w:t>
            </w:r>
          </w:p>
        </w:tc>
        <w:tc>
          <w:tcPr>
            <w:tcW w:w="86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8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0" w:type="dxa"/>
            <w:left w:w="109" w:type="dxa"/>
            <w:bottom w:w="0" w:type="dxa"/>
            <w:right w:w="0" w:type="dxa"/>
          </w:tblCellMar>
        </w:tblPrEx>
        <w:trPr>
          <w:trHeight w:val="851" w:hRule="atLeast"/>
        </w:trPr>
        <w:tc>
          <w:tcPr>
            <w:tcW w:w="76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7 </w:t>
            </w:r>
          </w:p>
        </w:tc>
        <w:tc>
          <w:tcPr>
            <w:tcW w:w="273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标书响应情况 </w:t>
            </w:r>
          </w:p>
        </w:tc>
        <w:tc>
          <w:tcPr>
            <w:tcW w:w="242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付款响应、服务期限响应 </w:t>
            </w:r>
          </w:p>
        </w:tc>
        <w:tc>
          <w:tcPr>
            <w:tcW w:w="86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8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0" w:type="dxa"/>
            <w:left w:w="109" w:type="dxa"/>
            <w:bottom w:w="0" w:type="dxa"/>
            <w:right w:w="0" w:type="dxa"/>
          </w:tblCellMar>
        </w:tblPrEx>
        <w:trPr>
          <w:trHeight w:val="1686" w:hRule="atLeast"/>
        </w:trPr>
        <w:tc>
          <w:tcPr>
            <w:tcW w:w="76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8 </w:t>
            </w:r>
          </w:p>
        </w:tc>
        <w:tc>
          <w:tcPr>
            <w:tcW w:w="273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标书规范性 </w:t>
            </w:r>
          </w:p>
        </w:tc>
        <w:tc>
          <w:tcPr>
            <w:tcW w:w="2422"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sz w:val="22"/>
              </w:rPr>
              <w:t>无严重的编排混乱、内容不全或字迹模糊辨认不清、前后矛盾情况，对评标无实质性影响的</w:t>
            </w:r>
            <w:r>
              <w:t xml:space="preserve"> </w:t>
            </w:r>
          </w:p>
        </w:tc>
        <w:tc>
          <w:tcPr>
            <w:tcW w:w="86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8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0" w:type="dxa"/>
            <w:left w:w="109" w:type="dxa"/>
            <w:bottom w:w="0" w:type="dxa"/>
            <w:right w:w="0" w:type="dxa"/>
          </w:tblCellMar>
        </w:tblPrEx>
        <w:trPr>
          <w:trHeight w:val="1701" w:hRule="atLeast"/>
        </w:trPr>
        <w:tc>
          <w:tcPr>
            <w:tcW w:w="764" w:type="dxa"/>
            <w:tcBorders>
              <w:top w:val="single" w:color="000000" w:sz="6" w:space="0"/>
              <w:left w:val="single" w:color="000000" w:sz="6" w:space="0"/>
              <w:bottom w:val="single" w:color="000000" w:sz="6" w:space="0"/>
              <w:right w:val="single" w:color="000000" w:sz="6" w:space="0"/>
            </w:tcBorders>
          </w:tcPr>
          <w:p>
            <w:pPr>
              <w:spacing w:after="0" w:line="276" w:lineRule="auto"/>
              <w:ind w:left="0" w:right="25" w:firstLine="0"/>
              <w:jc w:val="right"/>
            </w:pPr>
            <w:r>
              <w:t xml:space="preserve">9 </w:t>
            </w:r>
          </w:p>
        </w:tc>
        <w:tc>
          <w:tcPr>
            <w:tcW w:w="273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其他要求 </w:t>
            </w:r>
          </w:p>
        </w:tc>
        <w:tc>
          <w:tcPr>
            <w:tcW w:w="242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上述指标中未列出，但国家相关法律法规或招标文件有明确规定的 </w:t>
            </w:r>
          </w:p>
        </w:tc>
        <w:tc>
          <w:tcPr>
            <w:tcW w:w="86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85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0" w:type="dxa"/>
            <w:left w:w="109" w:type="dxa"/>
            <w:bottom w:w="0" w:type="dxa"/>
            <w:right w:w="0" w:type="dxa"/>
          </w:tblCellMar>
        </w:tblPrEx>
        <w:trPr>
          <w:trHeight w:val="1729" w:hRule="atLeast"/>
        </w:trPr>
        <w:tc>
          <w:tcPr>
            <w:tcW w:w="9645" w:type="dxa"/>
            <w:gridSpan w:val="5"/>
            <w:tcBorders>
              <w:top w:val="single" w:color="000000" w:sz="6" w:space="0"/>
              <w:left w:val="single" w:color="000000" w:sz="6" w:space="0"/>
              <w:bottom w:val="single" w:color="000000" w:sz="6" w:space="0"/>
              <w:right w:val="single" w:color="000000" w:sz="6" w:space="0"/>
            </w:tcBorders>
          </w:tcPr>
          <w:p>
            <w:pPr>
              <w:spacing w:after="334" w:line="240" w:lineRule="auto"/>
              <w:ind w:left="0" w:right="0" w:firstLine="0"/>
            </w:pPr>
            <w:r>
              <w:t xml:space="preserve">评审指标通过标准：投标人必须通过上述全部指标。 </w:t>
            </w:r>
          </w:p>
          <w:p>
            <w:pPr>
              <w:spacing w:after="0" w:line="276" w:lineRule="auto"/>
              <w:ind w:left="0" w:right="0" w:firstLine="0"/>
            </w:pPr>
            <w:r>
              <w:t xml:space="preserve">招标小组根据表中所列各项指标对投标人是否为有效标进行评审，未列入上表中的指标不得作为废标依据。符合评审指标通过标准的，为有效投标。未通过初审的投标人将不参与招标。 </w:t>
            </w:r>
          </w:p>
        </w:tc>
      </w:tr>
    </w:tbl>
    <w:p>
      <w:pPr>
        <w:ind w:left="615"/>
      </w:pPr>
    </w:p>
    <w:p>
      <w:pPr>
        <w:ind w:left="615"/>
      </w:pPr>
      <w:r>
        <w:t xml:space="preserve">9.2详细评审 </w:t>
      </w:r>
    </w:p>
    <w:p>
      <w:pPr>
        <w:spacing w:line="389" w:lineRule="auto"/>
        <w:ind w:left="615"/>
      </w:pPr>
      <w:r>
        <w:t>9.2.1招标小组将对所有通过初审的响应文件进行详细评审，具体如下： 根据评分的细则，评委应对进入详细评审的所有响应文件进行评分，并分别填写打分表。 对某投标人的每一个分值项，求招标小组全部成员评分之平均，得到该投标人该分值</w:t>
      </w:r>
    </w:p>
    <w:p>
      <w:pPr>
        <w:spacing w:line="389" w:lineRule="auto"/>
        <w:ind w:left="590" w:right="976" w:hanging="418"/>
      </w:pPr>
      <w:r>
        <w:t xml:space="preserve">项的得分。 将投标人每个分值项得分进行汇总，得到该投标人的技术部分得分。 投标人的各项得分均保留小数点后两位（小数点后第三位四舍五入）。 </w:t>
      </w:r>
    </w:p>
    <w:p>
      <w:pPr>
        <w:ind w:left="615"/>
      </w:pPr>
      <w:r>
        <w:t xml:space="preserve">9.2.2技术部分详细评审指标如下： </w:t>
      </w:r>
    </w:p>
    <w:tbl>
      <w:tblPr>
        <w:tblStyle w:val="11"/>
        <w:tblW w:w="9458" w:type="dxa"/>
        <w:tblInd w:w="166" w:type="dxa"/>
        <w:tblLayout w:type="autofit"/>
        <w:tblCellMar>
          <w:top w:w="0" w:type="dxa"/>
          <w:left w:w="7" w:type="dxa"/>
          <w:bottom w:w="0" w:type="dxa"/>
          <w:right w:w="20" w:type="dxa"/>
        </w:tblCellMar>
      </w:tblPr>
      <w:tblGrid>
        <w:gridCol w:w="663"/>
        <w:gridCol w:w="1124"/>
        <w:gridCol w:w="6589"/>
        <w:gridCol w:w="1082"/>
      </w:tblGrid>
      <w:tr>
        <w:tblPrEx>
          <w:tblCellMar>
            <w:top w:w="0" w:type="dxa"/>
            <w:left w:w="7" w:type="dxa"/>
            <w:bottom w:w="0" w:type="dxa"/>
            <w:right w:w="20" w:type="dxa"/>
          </w:tblCellMar>
        </w:tblPrEx>
        <w:trPr>
          <w:trHeight w:val="361" w:hRule="atLeast"/>
        </w:trPr>
        <w:tc>
          <w:tcPr>
            <w:tcW w:w="9458" w:type="dxa"/>
            <w:gridSpan w:val="4"/>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技术部分详细评审表 </w:t>
            </w:r>
          </w:p>
        </w:tc>
      </w:tr>
      <w:tr>
        <w:tblPrEx>
          <w:tblCellMar>
            <w:top w:w="0" w:type="dxa"/>
            <w:left w:w="7" w:type="dxa"/>
            <w:bottom w:w="0" w:type="dxa"/>
            <w:right w:w="20" w:type="dxa"/>
          </w:tblCellMar>
        </w:tblPrEx>
        <w:trPr>
          <w:trHeight w:val="346" w:hRule="atLeast"/>
        </w:trPr>
        <w:tc>
          <w:tcPr>
            <w:tcW w:w="663" w:type="dxa"/>
            <w:tcBorders>
              <w:top w:val="single" w:color="000000" w:sz="6" w:space="0"/>
              <w:left w:val="single" w:color="000000" w:sz="6" w:space="0"/>
              <w:bottom w:val="single" w:color="000000" w:sz="6" w:space="0"/>
              <w:right w:val="single" w:color="000000" w:sz="6" w:space="0"/>
            </w:tcBorders>
          </w:tcPr>
          <w:p>
            <w:pPr>
              <w:spacing w:after="0" w:line="276" w:lineRule="auto"/>
              <w:ind w:left="72" w:right="0" w:firstLine="0"/>
              <w:jc w:val="both"/>
            </w:pPr>
            <w:r>
              <w:t xml:space="preserve">序号  </w:t>
            </w:r>
          </w:p>
        </w:tc>
        <w:tc>
          <w:tcPr>
            <w:tcW w:w="1124" w:type="dxa"/>
            <w:tcBorders>
              <w:top w:val="single" w:color="000000" w:sz="6" w:space="0"/>
              <w:left w:val="single" w:color="000000" w:sz="6" w:space="0"/>
              <w:bottom w:val="single" w:color="000000" w:sz="6" w:space="0"/>
              <w:right w:val="single" w:color="000000" w:sz="6" w:space="0"/>
            </w:tcBorders>
          </w:tcPr>
          <w:p>
            <w:pPr>
              <w:spacing w:after="0" w:line="276" w:lineRule="auto"/>
              <w:ind w:left="288" w:right="0" w:firstLine="0"/>
            </w:pPr>
            <w:r>
              <w:t xml:space="preserve">指标 </w:t>
            </w:r>
          </w:p>
        </w:tc>
        <w:tc>
          <w:tcPr>
            <w:tcW w:w="658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指标描述 </w:t>
            </w:r>
          </w:p>
        </w:tc>
        <w:tc>
          <w:tcPr>
            <w:tcW w:w="108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both"/>
            </w:pPr>
            <w:r>
              <w:t>分值范围</w:t>
            </w:r>
          </w:p>
        </w:tc>
      </w:tr>
      <w:tr>
        <w:tblPrEx>
          <w:tblCellMar>
            <w:top w:w="0" w:type="dxa"/>
            <w:left w:w="7" w:type="dxa"/>
            <w:bottom w:w="0" w:type="dxa"/>
            <w:right w:w="20" w:type="dxa"/>
          </w:tblCellMar>
        </w:tblPrEx>
        <w:trPr>
          <w:trHeight w:val="1268" w:hRule="atLeast"/>
        </w:trPr>
        <w:tc>
          <w:tcPr>
            <w:tcW w:w="66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1 </w:t>
            </w:r>
          </w:p>
        </w:tc>
        <w:tc>
          <w:tcPr>
            <w:tcW w:w="112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302" w:right="0" w:firstLine="0"/>
            </w:pPr>
            <w:r>
              <w:t xml:space="preserve">工期 </w:t>
            </w:r>
          </w:p>
        </w:tc>
        <w:tc>
          <w:tcPr>
            <w:tcW w:w="6589" w:type="dxa"/>
            <w:tcBorders>
              <w:top w:val="single" w:color="000000" w:sz="6" w:space="0"/>
              <w:left w:val="single" w:color="000000" w:sz="6" w:space="0"/>
              <w:bottom w:val="single" w:color="000000" w:sz="6" w:space="0"/>
              <w:right w:val="single" w:color="000000" w:sz="6" w:space="0"/>
            </w:tcBorders>
          </w:tcPr>
          <w:p>
            <w:pPr>
              <w:spacing w:after="59" w:line="257" w:lineRule="auto"/>
              <w:ind w:left="14" w:right="14" w:firstLine="0"/>
              <w:jc w:val="both"/>
            </w:pPr>
            <w:r>
              <w:t>系统实施周期为合同签订后 30 个日历天（包括前期调研和培训用时）具备试运行条件，投标人承诺每提前3个日历天具备试运行条件的，加2分，最多加6分。未提供或提供不符合要</w:t>
            </w:r>
          </w:p>
          <w:p>
            <w:pPr>
              <w:spacing w:after="0" w:line="276" w:lineRule="auto"/>
              <w:ind w:left="14" w:right="0" w:firstLine="0"/>
            </w:pPr>
            <w:r>
              <w:t xml:space="preserve">求的不得分。 </w:t>
            </w:r>
          </w:p>
        </w:tc>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0-6分 </w:t>
            </w:r>
          </w:p>
        </w:tc>
      </w:tr>
      <w:tr>
        <w:tblPrEx>
          <w:tblCellMar>
            <w:top w:w="0" w:type="dxa"/>
            <w:left w:w="7" w:type="dxa"/>
            <w:bottom w:w="0" w:type="dxa"/>
            <w:right w:w="20" w:type="dxa"/>
          </w:tblCellMar>
        </w:tblPrEx>
        <w:trPr>
          <w:trHeight w:val="1585" w:hRule="atLeast"/>
        </w:trPr>
        <w:tc>
          <w:tcPr>
            <w:tcW w:w="66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2 </w:t>
            </w:r>
          </w:p>
        </w:tc>
        <w:tc>
          <w:tcPr>
            <w:tcW w:w="112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投标人业绩 </w:t>
            </w:r>
          </w:p>
        </w:tc>
        <w:tc>
          <w:tcPr>
            <w:tcW w:w="658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自2019年1月1日以来（以合同签订时间为准），投标人具有实施单个合同的智能仓储软件开发系统服务业绩及对接财务系统，每提供一个得3分，满分12分。 注：响应文件中须提供业绩证明材料，业绩证明材料要求详见投标人须知前附表。未提供或提供不符合要求的不得分。</w:t>
            </w:r>
          </w:p>
        </w:tc>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01" w:right="0" w:firstLine="0"/>
              <w:jc w:val="both"/>
            </w:pPr>
            <w:r>
              <w:t xml:space="preserve">0-12分 </w:t>
            </w:r>
          </w:p>
        </w:tc>
      </w:tr>
      <w:tr>
        <w:tblPrEx>
          <w:tblCellMar>
            <w:top w:w="0" w:type="dxa"/>
            <w:left w:w="7" w:type="dxa"/>
            <w:bottom w:w="0" w:type="dxa"/>
            <w:right w:w="20" w:type="dxa"/>
          </w:tblCellMar>
        </w:tblPrEx>
        <w:trPr>
          <w:trHeight w:val="1586" w:hRule="atLeast"/>
        </w:trPr>
        <w:tc>
          <w:tcPr>
            <w:tcW w:w="66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3 </w:t>
            </w:r>
          </w:p>
        </w:tc>
        <w:tc>
          <w:tcPr>
            <w:tcW w:w="112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43" w:right="0" w:firstLine="0"/>
              <w:jc w:val="both"/>
            </w:pPr>
            <w:r>
              <w:t xml:space="preserve">人员业绩  </w:t>
            </w:r>
          </w:p>
        </w:tc>
        <w:tc>
          <w:tcPr>
            <w:tcW w:w="658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自2019年1月1日起（以合同签订时间为准），项目负责人具有实施单个合同的智能仓储软件系统及对接财务系统，每提供一个得3分，满分12分。 注：响应文件中须提供业绩证明材料，业绩证明要求材料详见投标人须知前附表。未提供或提供不符合要求的不得分。 </w:t>
            </w:r>
          </w:p>
        </w:tc>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59" w:right="0" w:firstLine="0"/>
            </w:pPr>
            <w:r>
              <w:t xml:space="preserve">0-12分 </w:t>
            </w:r>
          </w:p>
        </w:tc>
      </w:tr>
      <w:tr>
        <w:tblPrEx>
          <w:tblCellMar>
            <w:top w:w="0" w:type="dxa"/>
            <w:left w:w="7" w:type="dxa"/>
            <w:bottom w:w="0" w:type="dxa"/>
            <w:right w:w="20" w:type="dxa"/>
          </w:tblCellMar>
        </w:tblPrEx>
        <w:trPr>
          <w:trHeight w:val="1585" w:hRule="atLeast"/>
        </w:trPr>
        <w:tc>
          <w:tcPr>
            <w:tcW w:w="66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4 </w:t>
            </w:r>
          </w:p>
        </w:tc>
        <w:tc>
          <w:tcPr>
            <w:tcW w:w="112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业务需求理解和分析 </w:t>
            </w:r>
          </w:p>
        </w:tc>
        <w:tc>
          <w:tcPr>
            <w:tcW w:w="6589" w:type="dxa"/>
            <w:tcBorders>
              <w:top w:val="single" w:color="000000" w:sz="6" w:space="0"/>
              <w:left w:val="single" w:color="000000" w:sz="6" w:space="0"/>
              <w:bottom w:val="single" w:color="000000" w:sz="6" w:space="0"/>
              <w:right w:val="single" w:color="000000" w:sz="6" w:space="0"/>
            </w:tcBorders>
          </w:tcPr>
          <w:p>
            <w:pPr>
              <w:spacing w:after="59" w:line="259" w:lineRule="auto"/>
              <w:ind w:left="0" w:right="0" w:firstLine="0"/>
            </w:pPr>
            <w:r>
              <w:t xml:space="preserve">响应文件中提供业务需求理解与分析，由评委会综合评审。 投标人对招标人业务需求全面概括，囊括主要的业务范围，设计功能等内容。 优秀的，得8≤F≤10分；良好的，得6≤F＜8分；一般的， 得4≤F＜6分；未提供或提供不符合要求的不得分。 </w:t>
            </w:r>
          </w:p>
        </w:tc>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01" w:right="0" w:firstLine="0"/>
              <w:jc w:val="both"/>
            </w:pPr>
            <w:r>
              <w:t xml:space="preserve">0-10分 </w:t>
            </w:r>
          </w:p>
        </w:tc>
      </w:tr>
      <w:tr>
        <w:tblPrEx>
          <w:tblCellMar>
            <w:top w:w="0" w:type="dxa"/>
            <w:left w:w="7" w:type="dxa"/>
            <w:bottom w:w="0" w:type="dxa"/>
            <w:right w:w="20" w:type="dxa"/>
          </w:tblCellMar>
        </w:tblPrEx>
        <w:trPr>
          <w:trHeight w:val="2205" w:hRule="atLeast"/>
        </w:trPr>
        <w:tc>
          <w:tcPr>
            <w:tcW w:w="66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5 </w:t>
            </w:r>
          </w:p>
        </w:tc>
        <w:tc>
          <w:tcPr>
            <w:tcW w:w="112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43" w:right="0" w:firstLine="0"/>
              <w:jc w:val="both"/>
            </w:pPr>
            <w:r>
              <w:t xml:space="preserve">技术方案  </w:t>
            </w:r>
          </w:p>
        </w:tc>
        <w:tc>
          <w:tcPr>
            <w:tcW w:w="6589" w:type="dxa"/>
            <w:tcBorders>
              <w:top w:val="single" w:color="000000" w:sz="6" w:space="0"/>
              <w:left w:val="single" w:color="000000" w:sz="6" w:space="0"/>
              <w:bottom w:val="single" w:color="000000" w:sz="6" w:space="0"/>
              <w:right w:val="single" w:color="000000" w:sz="6" w:space="0"/>
            </w:tcBorders>
          </w:tcPr>
          <w:p>
            <w:pPr>
              <w:spacing w:after="59" w:line="259" w:lineRule="auto"/>
              <w:ind w:left="0" w:right="0" w:firstLine="0"/>
            </w:pPr>
            <w:r>
              <w:t>响应文件中提供技术方案，由评委会综合评审。 投标人提供的技术方案符合招标人需求，能够解决招标人业务上存在问题及困难。技术方案必须全面、先进、成熟、详细具体、可行，流程合理，能提出项目实施过程中的难点及重点，有利于项目的顺利、完整实施。 优秀的，得8≤F≤10分；良好的，得6≤F＜8分；一般的， 得</w:t>
            </w:r>
          </w:p>
          <w:p>
            <w:pPr>
              <w:spacing w:after="0" w:line="276" w:lineRule="auto"/>
              <w:ind w:left="0" w:right="0" w:firstLine="0"/>
            </w:pPr>
            <w:r>
              <w:t xml:space="preserve">4≤F＜6分；未提供或提供不符合要求的不得分。 </w:t>
            </w:r>
          </w:p>
        </w:tc>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01" w:right="0" w:firstLine="0"/>
              <w:jc w:val="both"/>
            </w:pPr>
            <w:r>
              <w:t xml:space="preserve">0-10分 </w:t>
            </w:r>
          </w:p>
        </w:tc>
      </w:tr>
      <w:tr>
        <w:tblPrEx>
          <w:tblCellMar>
            <w:top w:w="0" w:type="dxa"/>
            <w:left w:w="7" w:type="dxa"/>
            <w:bottom w:w="0" w:type="dxa"/>
            <w:right w:w="20" w:type="dxa"/>
          </w:tblCellMar>
        </w:tblPrEx>
        <w:trPr>
          <w:trHeight w:val="1585" w:hRule="atLeast"/>
        </w:trPr>
        <w:tc>
          <w:tcPr>
            <w:tcW w:w="66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6 </w:t>
            </w:r>
          </w:p>
        </w:tc>
        <w:tc>
          <w:tcPr>
            <w:tcW w:w="112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43" w:right="0" w:firstLine="0"/>
              <w:jc w:val="both"/>
            </w:pPr>
            <w:r>
              <w:t xml:space="preserve">售后服务  </w:t>
            </w:r>
          </w:p>
        </w:tc>
        <w:tc>
          <w:tcPr>
            <w:tcW w:w="6589" w:type="dxa"/>
            <w:tcBorders>
              <w:top w:val="single" w:color="000000" w:sz="6" w:space="0"/>
              <w:left w:val="single" w:color="000000" w:sz="6" w:space="0"/>
              <w:bottom w:val="single" w:color="000000" w:sz="6" w:space="0"/>
              <w:right w:val="single" w:color="000000" w:sz="6" w:space="0"/>
            </w:tcBorders>
          </w:tcPr>
          <w:p>
            <w:pPr>
              <w:spacing w:after="59" w:line="259" w:lineRule="auto"/>
              <w:ind w:left="0" w:right="0" w:firstLine="0"/>
            </w:pPr>
            <w:r>
              <w:t>响应文件中提供售后服务方案，由评委会综合评审。 方案须包含故障处理、软件维护、技术培训、技术支持等内容售后服务方案体系完善、本地化服务能力强、有针对性。 优秀的，得8≤F≤10分；良好的，得6≤F＜8分；一般的， 得</w:t>
            </w:r>
          </w:p>
          <w:p>
            <w:pPr>
              <w:spacing w:after="0" w:line="276" w:lineRule="auto"/>
              <w:ind w:left="0" w:right="0" w:firstLine="0"/>
            </w:pPr>
            <w:r>
              <w:t xml:space="preserve">4≤F＜6分；未提供或提供不符合要求的不得分。 </w:t>
            </w:r>
          </w:p>
        </w:tc>
        <w:tc>
          <w:tcPr>
            <w:tcW w:w="1082" w:type="dxa"/>
            <w:tcBorders>
              <w:top w:val="single" w:color="000000" w:sz="6" w:space="0"/>
              <w:left w:val="single" w:color="000000" w:sz="6" w:space="0"/>
              <w:bottom w:val="single" w:color="000000" w:sz="6" w:space="0"/>
              <w:right w:val="single" w:color="000000" w:sz="6" w:space="0"/>
            </w:tcBorders>
          </w:tcPr>
          <w:p>
            <w:pPr>
              <w:spacing w:after="61" w:line="240" w:lineRule="auto"/>
              <w:ind w:left="0" w:right="0" w:firstLine="0"/>
            </w:pPr>
            <w:r>
              <w:t>。</w:t>
            </w:r>
          </w:p>
          <w:p>
            <w:pPr>
              <w:spacing w:after="0" w:line="276" w:lineRule="auto"/>
              <w:ind w:left="101" w:right="0" w:firstLine="0"/>
              <w:jc w:val="both"/>
            </w:pPr>
            <w:r>
              <w:t xml:space="preserve">0-10分 </w:t>
            </w:r>
          </w:p>
        </w:tc>
      </w:tr>
      <w:tr>
        <w:tblPrEx>
          <w:tblCellMar>
            <w:top w:w="0" w:type="dxa"/>
            <w:left w:w="7" w:type="dxa"/>
            <w:bottom w:w="0" w:type="dxa"/>
            <w:right w:w="20" w:type="dxa"/>
          </w:tblCellMar>
        </w:tblPrEx>
        <w:trPr>
          <w:trHeight w:val="1586" w:hRule="atLeast"/>
        </w:trPr>
        <w:tc>
          <w:tcPr>
            <w:tcW w:w="66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7 </w:t>
            </w:r>
          </w:p>
        </w:tc>
        <w:tc>
          <w:tcPr>
            <w:tcW w:w="112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43" w:right="0" w:firstLine="0"/>
              <w:jc w:val="both"/>
            </w:pPr>
            <w:r>
              <w:t xml:space="preserve">综合评价  </w:t>
            </w:r>
          </w:p>
        </w:tc>
        <w:tc>
          <w:tcPr>
            <w:tcW w:w="6589" w:type="dxa"/>
            <w:tcBorders>
              <w:top w:val="single" w:color="000000" w:sz="6" w:space="0"/>
              <w:left w:val="single" w:color="000000" w:sz="6" w:space="0"/>
              <w:bottom w:val="single" w:color="000000" w:sz="6" w:space="0"/>
              <w:right w:val="single" w:color="000000" w:sz="6" w:space="0"/>
            </w:tcBorders>
          </w:tcPr>
          <w:p>
            <w:pPr>
              <w:spacing w:after="44" w:line="264" w:lineRule="auto"/>
              <w:ind w:left="0" w:right="0" w:firstLine="0"/>
              <w:jc w:val="both"/>
            </w:pPr>
            <w:r>
              <w:t>评委会根据投标人的实力、企业规模、使用用户的口碑（如无重大质量问题，服务及时，按时完工等方面的用户评价）等综</w:t>
            </w:r>
          </w:p>
          <w:p>
            <w:pPr>
              <w:spacing w:after="60" w:line="240" w:lineRule="auto"/>
              <w:ind w:left="0" w:right="0" w:firstLine="0"/>
            </w:pPr>
            <w:r>
              <w:t xml:space="preserve">合进行评审。 </w:t>
            </w:r>
          </w:p>
          <w:p>
            <w:pPr>
              <w:spacing w:after="60" w:line="240" w:lineRule="auto"/>
              <w:ind w:left="0" w:right="0" w:firstLine="0"/>
              <w:jc w:val="both"/>
            </w:pPr>
            <w:r>
              <w:t>优秀的，得8≤F≤10分；良好的，得6≤F＜8分；一般的， 得</w:t>
            </w:r>
          </w:p>
          <w:p>
            <w:pPr>
              <w:spacing w:after="0" w:line="276" w:lineRule="auto"/>
              <w:ind w:left="0" w:right="0" w:firstLine="0"/>
            </w:pPr>
            <w:r>
              <w:t xml:space="preserve">4≤F＜6分；未提供或提供不符合要求的不得分。 </w:t>
            </w:r>
          </w:p>
        </w:tc>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01" w:right="0" w:firstLine="0"/>
              <w:jc w:val="both"/>
            </w:pPr>
            <w:r>
              <w:t xml:space="preserve">0-10分 </w:t>
            </w:r>
          </w:p>
        </w:tc>
      </w:tr>
      <w:tr>
        <w:tblPrEx>
          <w:tblCellMar>
            <w:top w:w="0" w:type="dxa"/>
            <w:left w:w="7" w:type="dxa"/>
            <w:bottom w:w="0" w:type="dxa"/>
            <w:right w:w="20" w:type="dxa"/>
          </w:tblCellMar>
        </w:tblPrEx>
        <w:trPr>
          <w:trHeight w:val="317" w:hRule="atLeast"/>
        </w:trPr>
        <w:tc>
          <w:tcPr>
            <w:tcW w:w="66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124" w:type="dxa"/>
            <w:tcBorders>
              <w:top w:val="single" w:color="000000" w:sz="6" w:space="0"/>
              <w:left w:val="single" w:color="000000" w:sz="6" w:space="0"/>
              <w:bottom w:val="single" w:color="000000" w:sz="6" w:space="0"/>
              <w:right w:val="single" w:color="000000" w:sz="6" w:space="0"/>
            </w:tcBorders>
          </w:tcPr>
          <w:p>
            <w:pPr>
              <w:spacing w:after="0" w:line="276" w:lineRule="auto"/>
              <w:ind w:left="288" w:right="0" w:firstLine="0"/>
            </w:pPr>
            <w:r>
              <w:t xml:space="preserve">合计 </w:t>
            </w:r>
          </w:p>
        </w:tc>
        <w:tc>
          <w:tcPr>
            <w:tcW w:w="658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c>
          <w:tcPr>
            <w:tcW w:w="1082" w:type="dxa"/>
            <w:tcBorders>
              <w:top w:val="single" w:color="000000" w:sz="6" w:space="0"/>
              <w:left w:val="single" w:color="000000" w:sz="6" w:space="0"/>
              <w:bottom w:val="single" w:color="000000" w:sz="6" w:space="0"/>
              <w:right w:val="single" w:color="000000" w:sz="6" w:space="0"/>
            </w:tcBorders>
          </w:tcPr>
          <w:p>
            <w:pPr>
              <w:spacing w:after="0" w:line="276" w:lineRule="auto"/>
              <w:ind w:left="58" w:right="0" w:firstLine="0"/>
              <w:jc w:val="both"/>
            </w:pPr>
            <w:r>
              <w:t xml:space="preserve">0-70分 </w:t>
            </w:r>
          </w:p>
        </w:tc>
      </w:tr>
    </w:tbl>
    <w:p>
      <w:pPr>
        <w:spacing w:after="218" w:line="240" w:lineRule="auto"/>
        <w:ind w:left="605" w:right="0" w:firstLine="0"/>
      </w:pPr>
      <w:r>
        <w:t xml:space="preserve"> </w:t>
      </w:r>
    </w:p>
    <w:p>
      <w:pPr>
        <w:ind w:left="673"/>
      </w:pPr>
      <w:r>
        <w:t xml:space="preserve">9.3招标 </w:t>
      </w:r>
    </w:p>
    <w:p>
      <w:pPr>
        <w:spacing w:line="395" w:lineRule="auto"/>
        <w:ind w:left="331" w:firstLine="476"/>
      </w:pPr>
      <w:r>
        <w:t xml:space="preserve">9.3.1招标小组将按网上开评标系统中投标人解密界面的投标人顺序分别与有效投标人就投标报价、服务方案等内容进行招标。投标人最后报价是签订合同的依据。 </w:t>
      </w:r>
    </w:p>
    <w:p>
      <w:pPr>
        <w:ind w:left="605" w:firstLine="58"/>
      </w:pPr>
      <w:r>
        <w:t xml:space="preserve">9.4商务部分得分计算 依据通过初审的有效投标人名单，其投标人的商务部分得分按照以下方式计算： </w:t>
      </w:r>
    </w:p>
    <w:tbl>
      <w:tblPr>
        <w:tblStyle w:val="6"/>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1367"/>
        <w:gridCol w:w="868"/>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121" w:type="dxa"/>
            <w:vAlign w:val="center"/>
          </w:tcPr>
          <w:p>
            <w:pPr>
              <w:spacing w:line="440" w:lineRule="exact"/>
              <w:jc w:val="center"/>
            </w:pPr>
            <w:r>
              <w:t>投标报价评分标准</w:t>
            </w:r>
          </w:p>
        </w:tc>
        <w:tc>
          <w:tcPr>
            <w:tcW w:w="1367" w:type="dxa"/>
            <w:tcMar>
              <w:left w:w="75" w:type="dxa"/>
            </w:tcMar>
            <w:vAlign w:val="center"/>
          </w:tcPr>
          <w:p>
            <w:pPr>
              <w:snapToGrid w:val="0"/>
              <w:jc w:val="center"/>
            </w:pPr>
            <w:r>
              <w:rPr>
                <w:rFonts w:hint="eastAsia"/>
                <w:szCs w:val="21"/>
              </w:rPr>
              <w:t>评标价</w:t>
            </w:r>
          </w:p>
        </w:tc>
        <w:tc>
          <w:tcPr>
            <w:tcW w:w="868" w:type="dxa"/>
            <w:vAlign w:val="center"/>
          </w:tcPr>
          <w:p>
            <w:pPr>
              <w:snapToGrid w:val="0"/>
              <w:jc w:val="center"/>
              <w:rPr>
                <w:kern w:val="0"/>
                <w:szCs w:val="21"/>
              </w:rPr>
            </w:pPr>
            <w:r>
              <w:rPr>
                <w:kern w:val="0"/>
                <w:szCs w:val="21"/>
                <w:u w:val="single"/>
              </w:rPr>
              <w:t>30</w:t>
            </w:r>
            <w:r>
              <w:rPr>
                <w:rFonts w:hint="eastAsia"/>
                <w:kern w:val="0"/>
                <w:szCs w:val="21"/>
              </w:rPr>
              <w:t>分</w:t>
            </w:r>
          </w:p>
        </w:tc>
        <w:tc>
          <w:tcPr>
            <w:tcW w:w="6850" w:type="dxa"/>
            <w:vAlign w:val="center"/>
          </w:tcPr>
          <w:p>
            <w:pPr>
              <w:autoSpaceDE w:val="0"/>
              <w:autoSpaceDN w:val="0"/>
              <w:adjustRightInd w:val="0"/>
              <w:snapToGrid w:val="0"/>
              <w:spacing w:line="360" w:lineRule="auto"/>
              <w:rPr>
                <w:b/>
                <w:spacing w:val="-2"/>
                <w:szCs w:val="21"/>
              </w:rPr>
            </w:pPr>
            <w:r>
              <w:rPr>
                <w:rFonts w:hint="eastAsia"/>
                <w:b/>
                <w:spacing w:val="-2"/>
                <w:szCs w:val="21"/>
              </w:rPr>
              <w:t>（1）确定评标价</w:t>
            </w:r>
          </w:p>
          <w:p>
            <w:pPr>
              <w:autoSpaceDE w:val="0"/>
              <w:autoSpaceDN w:val="0"/>
              <w:adjustRightInd w:val="0"/>
              <w:snapToGrid w:val="0"/>
              <w:spacing w:line="360" w:lineRule="auto"/>
              <w:rPr>
                <w:spacing w:val="-2"/>
                <w:szCs w:val="21"/>
              </w:rPr>
            </w:pPr>
            <w:r>
              <w:rPr>
                <w:rFonts w:hint="eastAsia"/>
                <w:spacing w:val="-2"/>
                <w:szCs w:val="21"/>
              </w:rPr>
              <w:t>评标价=投标函文字报价</w:t>
            </w:r>
          </w:p>
          <w:p>
            <w:pPr>
              <w:autoSpaceDE w:val="0"/>
              <w:autoSpaceDN w:val="0"/>
              <w:adjustRightInd w:val="0"/>
              <w:snapToGrid w:val="0"/>
              <w:spacing w:line="360" w:lineRule="auto"/>
              <w:rPr>
                <w:b/>
                <w:spacing w:val="-2"/>
                <w:szCs w:val="21"/>
              </w:rPr>
            </w:pPr>
            <w:r>
              <w:rPr>
                <w:rFonts w:hint="eastAsia"/>
                <w:b/>
                <w:spacing w:val="-2"/>
                <w:szCs w:val="21"/>
              </w:rPr>
              <w:t>（2）确定评标价平均值</w:t>
            </w:r>
          </w:p>
          <w:p>
            <w:pPr>
              <w:autoSpaceDE w:val="0"/>
              <w:autoSpaceDN w:val="0"/>
              <w:adjustRightInd w:val="0"/>
              <w:snapToGrid w:val="0"/>
              <w:spacing w:line="360" w:lineRule="auto"/>
              <w:rPr>
                <w:spacing w:val="-2"/>
                <w:szCs w:val="21"/>
              </w:rPr>
            </w:pPr>
            <w:r>
              <w:rPr>
                <w:rFonts w:hint="eastAsia"/>
                <w:spacing w:val="-2"/>
                <w:szCs w:val="21"/>
              </w:rPr>
              <w:t>对所有通过报价文件初步评审的投标人投标函文字报价按照由低到高进行排序，去除n个较高投标函文字报价和n个较低投标函文字报价后，取其他投标函文字报价进行算术平均得出平均值。设通过报价文件初步评审的投标人数量为X，n按照以下规定取值：</w:t>
            </w:r>
          </w:p>
          <w:p>
            <w:pPr>
              <w:autoSpaceDE w:val="0"/>
              <w:autoSpaceDN w:val="0"/>
              <w:adjustRightInd w:val="0"/>
              <w:snapToGrid w:val="0"/>
              <w:spacing w:line="360" w:lineRule="auto"/>
              <w:rPr>
                <w:spacing w:val="-2"/>
                <w:szCs w:val="21"/>
              </w:rPr>
            </w:pPr>
            <w:r>
              <w:rPr>
                <w:rFonts w:hint="eastAsia"/>
                <w:spacing w:val="-2"/>
                <w:szCs w:val="21"/>
              </w:rPr>
              <w:t>①当X≤5，n=0；</w:t>
            </w:r>
          </w:p>
          <w:p>
            <w:pPr>
              <w:autoSpaceDE w:val="0"/>
              <w:autoSpaceDN w:val="0"/>
              <w:adjustRightInd w:val="0"/>
              <w:snapToGrid w:val="0"/>
              <w:spacing w:line="360" w:lineRule="auto"/>
              <w:rPr>
                <w:spacing w:val="-2"/>
                <w:szCs w:val="21"/>
              </w:rPr>
            </w:pPr>
            <w:r>
              <w:rPr>
                <w:rFonts w:hint="eastAsia"/>
                <w:spacing w:val="-2"/>
                <w:szCs w:val="21"/>
              </w:rPr>
              <w:t>②当5＜X≤10，n=1；</w:t>
            </w:r>
          </w:p>
          <w:p>
            <w:pPr>
              <w:autoSpaceDE w:val="0"/>
              <w:autoSpaceDN w:val="0"/>
              <w:adjustRightInd w:val="0"/>
              <w:snapToGrid w:val="0"/>
              <w:spacing w:line="360" w:lineRule="auto"/>
              <w:rPr>
                <w:spacing w:val="-2"/>
                <w:szCs w:val="21"/>
              </w:rPr>
            </w:pPr>
            <w:r>
              <w:rPr>
                <w:rFonts w:hint="eastAsia"/>
                <w:spacing w:val="-2"/>
                <w:szCs w:val="21"/>
              </w:rPr>
              <w:t>③当10＜X≤20，n=2；</w:t>
            </w:r>
          </w:p>
          <w:p>
            <w:pPr>
              <w:autoSpaceDE w:val="0"/>
              <w:autoSpaceDN w:val="0"/>
              <w:adjustRightInd w:val="0"/>
              <w:snapToGrid w:val="0"/>
              <w:spacing w:line="360" w:lineRule="auto"/>
              <w:rPr>
                <w:spacing w:val="-2"/>
                <w:szCs w:val="21"/>
              </w:rPr>
            </w:pPr>
            <w:r>
              <w:rPr>
                <w:rFonts w:hint="eastAsia"/>
                <w:spacing w:val="-2"/>
                <w:szCs w:val="21"/>
              </w:rPr>
              <w:t>④当20＜X≤30，n=3；以此类推。</w:t>
            </w:r>
          </w:p>
          <w:p>
            <w:pPr>
              <w:autoSpaceDE w:val="0"/>
              <w:autoSpaceDN w:val="0"/>
              <w:adjustRightInd w:val="0"/>
              <w:snapToGrid w:val="0"/>
              <w:spacing w:line="360" w:lineRule="auto"/>
              <w:rPr>
                <w:b/>
                <w:spacing w:val="-2"/>
                <w:szCs w:val="21"/>
              </w:rPr>
            </w:pPr>
            <w:r>
              <w:rPr>
                <w:rFonts w:hint="eastAsia"/>
                <w:b/>
                <w:spacing w:val="-2"/>
                <w:szCs w:val="21"/>
              </w:rPr>
              <w:t>（3）确定评标基准价</w:t>
            </w:r>
          </w:p>
          <w:p>
            <w:pPr>
              <w:autoSpaceDE w:val="0"/>
              <w:autoSpaceDN w:val="0"/>
              <w:adjustRightInd w:val="0"/>
              <w:snapToGrid w:val="0"/>
              <w:spacing w:line="400" w:lineRule="exact"/>
              <w:rPr>
                <w:spacing w:val="-2"/>
                <w:szCs w:val="21"/>
              </w:rPr>
            </w:pPr>
            <w:r>
              <w:rPr>
                <w:rFonts w:hint="eastAsia"/>
                <w:spacing w:val="-2"/>
                <w:szCs w:val="21"/>
              </w:rPr>
              <w:t>评标基准价=评标价平均值*C值</w:t>
            </w:r>
          </w:p>
          <w:p>
            <w:pPr>
              <w:autoSpaceDE w:val="0"/>
              <w:autoSpaceDN w:val="0"/>
              <w:adjustRightInd w:val="0"/>
              <w:snapToGrid w:val="0"/>
              <w:spacing w:line="400" w:lineRule="exact"/>
              <w:rPr>
                <w:b/>
                <w:bCs/>
                <w:spacing w:val="-2"/>
                <w:szCs w:val="21"/>
              </w:rPr>
            </w:pPr>
            <w:r>
              <w:rPr>
                <w:rFonts w:hint="eastAsia"/>
                <w:b/>
                <w:bCs/>
                <w:spacing w:val="-2"/>
                <w:szCs w:val="21"/>
              </w:rPr>
              <w:t>备注：</w:t>
            </w:r>
            <w:r>
              <w:rPr>
                <w:rFonts w:hint="eastAsia"/>
                <w:b/>
              </w:rPr>
              <w:t>评标价平均值及评标基准价计算结果均精确到小数点后两位，小数点后第三位四舍五入。</w:t>
            </w:r>
          </w:p>
          <w:p>
            <w:pPr>
              <w:autoSpaceDE w:val="0"/>
              <w:autoSpaceDN w:val="0"/>
              <w:adjustRightInd w:val="0"/>
              <w:snapToGrid w:val="0"/>
              <w:spacing w:line="360" w:lineRule="auto"/>
              <w:rPr>
                <w:spacing w:val="-2"/>
                <w:szCs w:val="21"/>
              </w:rPr>
            </w:pPr>
            <w:r>
              <w:rPr>
                <w:rFonts w:hint="eastAsia"/>
                <w:spacing w:val="-2"/>
                <w:szCs w:val="21"/>
              </w:rPr>
              <w:t>C值确定如下：</w:t>
            </w:r>
          </w:p>
          <w:p>
            <w:pPr>
              <w:autoSpaceDE w:val="0"/>
              <w:autoSpaceDN w:val="0"/>
              <w:adjustRightInd w:val="0"/>
              <w:snapToGrid w:val="0"/>
              <w:spacing w:line="360" w:lineRule="auto"/>
              <w:rPr>
                <w:spacing w:val="-2"/>
                <w:szCs w:val="21"/>
              </w:rPr>
            </w:pPr>
            <w:r>
              <w:rPr>
                <w:rFonts w:hint="eastAsia"/>
                <w:spacing w:val="-2"/>
                <w:szCs w:val="21"/>
              </w:rPr>
              <w:t>将在投标截止时间后系统成功接收投标文件的投标人总数（无论是否成功解密）除以5，根据余数对应取C值，见下表（多标段按各自标段在投标截止时间后系统成功接收投标文件的投标人总数（无论是否成功解密）计算选取）</w:t>
            </w:r>
          </w:p>
          <w:tbl>
            <w:tblPr>
              <w:tblStyle w:val="6"/>
              <w:tblW w:w="48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1"/>
              <w:gridCol w:w="3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2342" w:type="pc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600" w:lineRule="exact"/>
                    <w:ind w:firstLine="960" w:firstLineChars="400"/>
                    <w:rPr>
                      <w:rFonts w:ascii="仿宋_GB2312" w:eastAsia="仿宋_GB2312"/>
                      <w:szCs w:val="21"/>
                    </w:rPr>
                  </w:pPr>
                  <w:r>
                    <w:rPr>
                      <w:rFonts w:hint="eastAsia" w:ascii="仿宋_GB2312" w:eastAsia="仿宋_GB2312"/>
                      <w:szCs w:val="21"/>
                    </w:rPr>
                    <w:t>对应的C值</w:t>
                  </w:r>
                </w:p>
                <w:p>
                  <w:pPr>
                    <w:spacing w:line="600" w:lineRule="exact"/>
                    <w:ind w:firstLine="480" w:firstLineChars="200"/>
                    <w:rPr>
                      <w:rFonts w:ascii="仿宋_GB2312" w:eastAsia="仿宋_GB2312"/>
                      <w:szCs w:val="21"/>
                    </w:rPr>
                  </w:pPr>
                  <w:r>
                    <w:rPr>
                      <w:rFonts w:hint="eastAsia" w:ascii="仿宋_GB2312" w:eastAsia="仿宋_GB2312"/>
                      <w:szCs w:val="21"/>
                    </w:rPr>
                    <w:t>余数</w:t>
                  </w:r>
                </w:p>
              </w:tc>
              <w:tc>
                <w:tcPr>
                  <w:tcW w:w="2658" w:type="pct"/>
                  <w:tcBorders>
                    <w:top w:val="single" w:color="000000" w:sz="4" w:space="0"/>
                    <w:left w:val="single" w:color="auto"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C值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342" w:type="pct"/>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0</w:t>
                  </w:r>
                </w:p>
              </w:tc>
              <w:tc>
                <w:tcPr>
                  <w:tcW w:w="2658" w:type="pct"/>
                  <w:tcBorders>
                    <w:top w:val="single" w:color="000000" w:sz="4" w:space="0"/>
                    <w:left w:val="single" w:color="auto"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42" w:type="pct"/>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1</w:t>
                  </w:r>
                </w:p>
              </w:tc>
              <w:tc>
                <w:tcPr>
                  <w:tcW w:w="2658" w:type="pct"/>
                  <w:tcBorders>
                    <w:top w:val="single" w:color="000000" w:sz="4" w:space="0"/>
                    <w:left w:val="single" w:color="auto"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42" w:type="pct"/>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2</w:t>
                  </w:r>
                </w:p>
              </w:tc>
              <w:tc>
                <w:tcPr>
                  <w:tcW w:w="2658" w:type="pct"/>
                  <w:tcBorders>
                    <w:top w:val="single" w:color="000000" w:sz="4" w:space="0"/>
                    <w:left w:val="single" w:color="auto"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42" w:type="pct"/>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3</w:t>
                  </w:r>
                </w:p>
              </w:tc>
              <w:tc>
                <w:tcPr>
                  <w:tcW w:w="2658" w:type="pct"/>
                  <w:tcBorders>
                    <w:top w:val="single" w:color="000000" w:sz="4" w:space="0"/>
                    <w:left w:val="single" w:color="auto"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42" w:type="pct"/>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4</w:t>
                  </w:r>
                </w:p>
              </w:tc>
              <w:tc>
                <w:tcPr>
                  <w:tcW w:w="2658" w:type="pct"/>
                  <w:tcBorders>
                    <w:top w:val="single" w:color="000000" w:sz="4" w:space="0"/>
                    <w:left w:val="single" w:color="auto" w:sz="4" w:space="0"/>
                    <w:bottom w:val="single" w:color="000000" w:sz="4" w:space="0"/>
                    <w:right w:val="single" w:color="000000" w:sz="4" w:space="0"/>
                  </w:tcBorders>
                  <w:vAlign w:val="center"/>
                </w:tcPr>
                <w:p>
                  <w:pPr>
                    <w:spacing w:line="600" w:lineRule="exact"/>
                    <w:ind w:firstLine="480" w:firstLineChars="200"/>
                    <w:jc w:val="center"/>
                    <w:rPr>
                      <w:rFonts w:ascii="仿宋_GB2312" w:eastAsia="仿宋_GB2312"/>
                      <w:szCs w:val="21"/>
                    </w:rPr>
                  </w:pPr>
                  <w:r>
                    <w:rPr>
                      <w:rFonts w:hint="eastAsia" w:ascii="仿宋_GB2312" w:eastAsia="仿宋_GB2312"/>
                      <w:szCs w:val="21"/>
                    </w:rPr>
                    <w:t>0.99</w:t>
                  </w:r>
                </w:p>
              </w:tc>
            </w:tr>
          </w:tbl>
          <w:p>
            <w:pPr>
              <w:autoSpaceDE w:val="0"/>
              <w:autoSpaceDN w:val="0"/>
              <w:adjustRightInd w:val="0"/>
              <w:snapToGrid w:val="0"/>
              <w:spacing w:line="360" w:lineRule="auto"/>
              <w:rPr>
                <w:spacing w:val="-2"/>
                <w:szCs w:val="21"/>
              </w:rPr>
            </w:pPr>
          </w:p>
          <w:p>
            <w:pPr>
              <w:autoSpaceDE w:val="0"/>
              <w:autoSpaceDN w:val="0"/>
              <w:adjustRightInd w:val="0"/>
              <w:snapToGrid w:val="0"/>
              <w:spacing w:line="360" w:lineRule="auto"/>
              <w:rPr>
                <w:spacing w:val="-2"/>
                <w:szCs w:val="21"/>
              </w:rPr>
            </w:pPr>
            <w:r>
              <w:rPr>
                <w:rFonts w:hint="eastAsia"/>
                <w:spacing w:val="-2"/>
                <w:szCs w:val="21"/>
              </w:rPr>
              <w:t>评标基准价除存在计算错误之外，不随任何因素发生变化。</w:t>
            </w:r>
          </w:p>
          <w:p>
            <w:pPr>
              <w:autoSpaceDE w:val="0"/>
              <w:autoSpaceDN w:val="0"/>
              <w:adjustRightInd w:val="0"/>
              <w:snapToGrid w:val="0"/>
              <w:spacing w:line="360" w:lineRule="auto"/>
              <w:rPr>
                <w:b/>
                <w:spacing w:val="-2"/>
                <w:szCs w:val="21"/>
              </w:rPr>
            </w:pPr>
            <w:r>
              <w:rPr>
                <w:rFonts w:hint="eastAsia"/>
                <w:b/>
                <w:spacing w:val="-2"/>
                <w:szCs w:val="21"/>
              </w:rPr>
              <w:t>（4）评标价的偏差率计算</w:t>
            </w:r>
          </w:p>
          <w:p>
            <w:pPr>
              <w:autoSpaceDE w:val="0"/>
              <w:autoSpaceDN w:val="0"/>
              <w:adjustRightInd w:val="0"/>
              <w:snapToGrid w:val="0"/>
              <w:spacing w:line="360" w:lineRule="auto"/>
              <w:rPr>
                <w:spacing w:val="-2"/>
                <w:szCs w:val="21"/>
              </w:rPr>
            </w:pPr>
            <w:r>
              <w:rPr>
                <w:rFonts w:hint="eastAsia"/>
                <w:spacing w:val="-2"/>
                <w:szCs w:val="21"/>
              </w:rPr>
              <w:t>偏差率=100%×（投标人评标价-评标基准价）/评标基准价</w:t>
            </w:r>
          </w:p>
          <w:p>
            <w:pPr>
              <w:autoSpaceDE w:val="0"/>
              <w:autoSpaceDN w:val="0"/>
              <w:adjustRightInd w:val="0"/>
              <w:snapToGrid w:val="0"/>
              <w:spacing w:line="360" w:lineRule="auto"/>
              <w:rPr>
                <w:spacing w:val="-2"/>
                <w:szCs w:val="21"/>
              </w:rPr>
            </w:pPr>
            <w:r>
              <w:rPr>
                <w:rFonts w:hint="eastAsia"/>
                <w:spacing w:val="-2"/>
                <w:szCs w:val="21"/>
              </w:rPr>
              <w:t>偏差率保留两位小数（小数点后第三位“四舍五入”），即为*.**%。</w:t>
            </w:r>
          </w:p>
          <w:p>
            <w:pPr>
              <w:autoSpaceDE w:val="0"/>
              <w:autoSpaceDN w:val="0"/>
              <w:adjustRightInd w:val="0"/>
              <w:snapToGrid w:val="0"/>
              <w:spacing w:line="360" w:lineRule="auto"/>
              <w:rPr>
                <w:b/>
                <w:spacing w:val="-2"/>
                <w:szCs w:val="21"/>
              </w:rPr>
            </w:pPr>
            <w:r>
              <w:rPr>
                <w:rFonts w:hint="eastAsia"/>
                <w:b/>
                <w:spacing w:val="-2"/>
                <w:szCs w:val="21"/>
              </w:rPr>
              <w:t>（5）评标价得分计算</w:t>
            </w:r>
          </w:p>
          <w:p>
            <w:pPr>
              <w:spacing w:line="440" w:lineRule="exact"/>
            </w:pPr>
            <w:r>
              <w:rPr>
                <w:rFonts w:hint="eastAsia"/>
              </w:rPr>
              <w:t>①当投标人评标价＞评标基准价，评标价得分=F-偏差率*100*E1</w:t>
            </w:r>
          </w:p>
          <w:p>
            <w:pPr>
              <w:spacing w:line="440" w:lineRule="exact"/>
            </w:pPr>
            <w:r>
              <w:rPr>
                <w:rFonts w:hint="eastAsia"/>
              </w:rPr>
              <w:t>②当投标人评标价≤评标基准价，评标价得分=F+偏差率*100*E2</w:t>
            </w:r>
          </w:p>
          <w:p>
            <w:pPr>
              <w:spacing w:line="440" w:lineRule="exact"/>
            </w:pPr>
            <w:r>
              <w:rPr>
                <w:rFonts w:hint="eastAsia"/>
              </w:rPr>
              <w:t>其中:F是评标价所占的权重分值。E1是评标价每高于评标基准价一个百分点的扣分值，E2是评标价每低于评标基准价一个百分点的扣分值。本项目E1=1,E2=0.5。</w:t>
            </w:r>
          </w:p>
          <w:p>
            <w:pPr>
              <w:spacing w:line="440" w:lineRule="exact"/>
              <w:rPr>
                <w:spacing w:val="-2"/>
                <w:szCs w:val="21"/>
              </w:rPr>
            </w:pPr>
            <w:r>
              <w:rPr>
                <w:rFonts w:hint="eastAsia"/>
              </w:rPr>
              <w:t>当评标价得分为负时，均按0分计算。</w:t>
            </w:r>
          </w:p>
        </w:tc>
      </w:tr>
    </w:tbl>
    <w:p>
      <w:pPr>
        <w:spacing w:line="383" w:lineRule="auto"/>
        <w:ind w:left="673" w:right="4696"/>
      </w:pPr>
    </w:p>
    <w:p>
      <w:pPr>
        <w:spacing w:line="383" w:lineRule="auto"/>
        <w:ind w:left="673" w:right="4696"/>
      </w:pPr>
      <w:r>
        <w:t xml:space="preserve">9.4确定中标候选人 </w:t>
      </w:r>
    </w:p>
    <w:p>
      <w:pPr>
        <w:spacing w:line="383" w:lineRule="auto"/>
        <w:ind w:left="673" w:right="4696"/>
      </w:pPr>
      <w:r>
        <w:t xml:space="preserve">9.4.1计算最终得分 </w:t>
      </w:r>
    </w:p>
    <w:p>
      <w:pPr>
        <w:spacing w:line="389" w:lineRule="auto"/>
        <w:ind w:left="172" w:firstLine="418"/>
      </w:pPr>
      <w:r>
        <w:t xml:space="preserve">将每个有效投标人的技术部分得分加商务部分得分，得出该投标人的最终得分。 投标人的各项得分均保留小数点后两位（小数点后第三位四舍五入）。 </w:t>
      </w:r>
    </w:p>
    <w:p>
      <w:pPr>
        <w:spacing w:line="389" w:lineRule="auto"/>
        <w:ind w:left="172" w:firstLine="418"/>
      </w:pPr>
      <w:r>
        <w:t xml:space="preserve">9.4.2按照有效投标人最终得分由高到低排出中标候选人。 最终得分相同的，按技术部分得分由高到低顺序排序。技术部分得分及最终得分均相同的，则采取招标小组抽签方式确定其前后次序。 </w:t>
      </w:r>
    </w:p>
    <w:p>
      <w:pPr>
        <w:ind w:left="615"/>
      </w:pPr>
      <w:r>
        <w:t xml:space="preserve">10.各投标人的得分一经得出，并核对无误后，任何人不得更改。 </w:t>
      </w:r>
    </w:p>
    <w:p>
      <w:pPr>
        <w:spacing w:line="383" w:lineRule="auto"/>
        <w:ind w:left="172" w:firstLine="476"/>
      </w:pPr>
      <w:r>
        <w:t xml:space="preserve">11.招标小组在评标过程中发现的问题，应当及时作出处理或者向招标人提出处理建议，并作书面记录。 </w:t>
      </w:r>
    </w:p>
    <w:p>
      <w:pPr>
        <w:spacing w:line="389" w:lineRule="auto"/>
        <w:ind w:left="172" w:firstLine="476"/>
      </w:pPr>
      <w:r>
        <w:t xml:space="preserve">12. 在评审过程中，招标小组发现投标人的最后报价或者某些分项报价可能低于成本或者高于招标文件设定的最高投标限价的，招标小组将以询标的方式告知并要求投标人进行必要的说明或补正，经招标小组认定其最后报价低于成本或者高于招标文件设定的最高投标限价的，将否决其投标。对于询标后判定为不符合招标文件的报价，评委要提出充足的否定理由，并予以书面记录。最终对投标人的评审结论分为通过和未通过。 </w:t>
      </w:r>
    </w:p>
    <w:p>
      <w:pPr>
        <w:spacing w:line="395" w:lineRule="auto"/>
        <w:ind w:left="172" w:firstLine="476"/>
      </w:pPr>
      <w:r>
        <w:t xml:space="preserve">13.投标人最后报价与公布的预算价（或最高投标限价（招标控制价）)相比降幅过小，或投标人最后报价明显缺乏竞争性的，招标小组可以否决所有投标。 </w:t>
      </w:r>
    </w:p>
    <w:p>
      <w:pPr>
        <w:spacing w:line="389" w:lineRule="auto"/>
        <w:ind w:left="172" w:firstLine="476"/>
      </w:pPr>
      <w:r>
        <w:t xml:space="preserve">14.评标后，招标小组应写出评标报告并签字。评标报告是招标小组根据全体评标成员签字的原始评标记录和评标结果编写的报告，招标小组全体成员及监督员均须在评标报告上签字。评标报告应如实记录本次评标的主要过程，全面反映评标过程中的各种不同的意见，以及其他澄清、说明、补正事项。 </w:t>
      </w:r>
    </w:p>
    <w:p>
      <w:pPr>
        <w:spacing w:after="327" w:line="377" w:lineRule="auto"/>
        <w:ind w:left="172" w:right="132" w:firstLine="0"/>
        <w:jc w:val="both"/>
      </w:pPr>
      <w:r>
        <w:t xml:space="preserve">    15.招标小组和评标工作人员应严格遵守国家的法律、法规和规章制度；严格按照本次招标文件进行评标；公正廉洁、不徇私情，不得损害国家利益；保护招、投标人的合法权益。 </w:t>
      </w:r>
    </w:p>
    <w:p>
      <w:pPr>
        <w:spacing w:line="367" w:lineRule="auto"/>
        <w:ind w:left="172" w:firstLine="418"/>
        <w:rPr>
          <w:rFonts w:eastAsiaTheme="minorEastAsia"/>
        </w:rPr>
      </w:pPr>
      <w:r>
        <w:t>16.在评标过程中，评委及其他评标工作人员必须对评标情况严格保密，任何人不得将评标情况透露给与投标人有关的单位和个人。如有违反评标纪律的情况发生，将依据《中华人民共和国招标投标法》、《中华人民共和国招标投标法实施条例》及其他有关法律法规的规定，追究有关当事人的责任。</w:t>
      </w:r>
    </w:p>
    <w:p>
      <w:pPr>
        <w:spacing w:line="367" w:lineRule="auto"/>
        <w:ind w:left="172" w:firstLine="418"/>
        <w:rPr>
          <w:rFonts w:eastAsiaTheme="minorEastAsia"/>
        </w:rPr>
      </w:pPr>
    </w:p>
    <w:p>
      <w:pPr>
        <w:spacing w:line="367" w:lineRule="auto"/>
        <w:ind w:left="172" w:firstLine="418"/>
        <w:rPr>
          <w:rFonts w:eastAsiaTheme="minorEastAsia"/>
        </w:rPr>
      </w:pPr>
    </w:p>
    <w:p>
      <w:pPr>
        <w:spacing w:line="367" w:lineRule="auto"/>
        <w:ind w:left="172" w:firstLine="418"/>
        <w:rPr>
          <w:rFonts w:eastAsiaTheme="minorEastAsia"/>
        </w:rPr>
      </w:pPr>
    </w:p>
    <w:p>
      <w:pPr>
        <w:spacing w:line="367" w:lineRule="auto"/>
        <w:ind w:left="172" w:firstLine="418"/>
        <w:rPr>
          <w:rFonts w:eastAsiaTheme="minorEastAsia"/>
        </w:rPr>
      </w:pPr>
    </w:p>
    <w:p>
      <w:pPr>
        <w:spacing w:line="367" w:lineRule="auto"/>
        <w:ind w:left="172" w:firstLine="418"/>
        <w:rPr>
          <w:rFonts w:eastAsiaTheme="minorEastAsia"/>
        </w:rPr>
      </w:pPr>
    </w:p>
    <w:p>
      <w:pPr>
        <w:spacing w:line="367" w:lineRule="auto"/>
        <w:ind w:left="172" w:firstLine="418"/>
        <w:rPr>
          <w:rFonts w:eastAsiaTheme="minorEastAsia"/>
        </w:rPr>
      </w:pPr>
    </w:p>
    <w:p>
      <w:pPr>
        <w:spacing w:after="0" w:line="240" w:lineRule="auto"/>
        <w:ind w:left="375" w:right="0" w:firstLine="0"/>
        <w:jc w:val="center"/>
        <w:rPr>
          <w:color w:val="FF0000"/>
          <w:sz w:val="48"/>
          <w:szCs w:val="48"/>
        </w:rPr>
      </w:pPr>
    </w:p>
    <w:p>
      <w:pPr>
        <w:spacing w:after="0" w:line="240" w:lineRule="auto"/>
        <w:ind w:left="375" w:right="0" w:firstLine="0"/>
        <w:jc w:val="center"/>
        <w:rPr>
          <w:color w:val="FF0000"/>
          <w:sz w:val="48"/>
          <w:szCs w:val="48"/>
        </w:rPr>
      </w:pPr>
    </w:p>
    <w:p>
      <w:pPr>
        <w:spacing w:after="0" w:line="240" w:lineRule="auto"/>
        <w:ind w:left="375" w:right="0" w:firstLine="0"/>
        <w:jc w:val="center"/>
        <w:rPr>
          <w:color w:val="FF0000"/>
          <w:sz w:val="48"/>
          <w:szCs w:val="48"/>
        </w:rPr>
      </w:pPr>
    </w:p>
    <w:p>
      <w:pPr>
        <w:spacing w:after="0" w:line="240" w:lineRule="auto"/>
        <w:ind w:left="375" w:right="0" w:firstLine="0"/>
        <w:jc w:val="center"/>
        <w:rPr>
          <w:color w:val="FF0000"/>
          <w:sz w:val="48"/>
          <w:szCs w:val="48"/>
        </w:rPr>
      </w:pPr>
    </w:p>
    <w:p>
      <w:pPr>
        <w:spacing w:after="0" w:line="240" w:lineRule="auto"/>
        <w:ind w:left="375" w:right="0" w:firstLine="0"/>
        <w:jc w:val="center"/>
        <w:rPr>
          <w:color w:val="FF0000"/>
          <w:sz w:val="48"/>
          <w:szCs w:val="48"/>
        </w:rPr>
      </w:pPr>
    </w:p>
    <w:p>
      <w:pPr>
        <w:spacing w:after="0" w:line="240" w:lineRule="auto"/>
        <w:ind w:left="375" w:right="0" w:firstLine="0"/>
        <w:jc w:val="center"/>
        <w:rPr>
          <w:color w:val="FF0000"/>
          <w:sz w:val="48"/>
          <w:szCs w:val="48"/>
        </w:rPr>
      </w:pPr>
      <w:r>
        <w:rPr>
          <w:color w:val="FF0000"/>
          <w:sz w:val="48"/>
          <w:szCs w:val="48"/>
        </w:rPr>
        <w:t>第六章  合同</w:t>
      </w:r>
    </w:p>
    <w:p>
      <w:pPr>
        <w:spacing w:after="406" w:line="240" w:lineRule="auto"/>
        <w:rPr>
          <w:u w:val="single"/>
        </w:rPr>
      </w:pPr>
      <w:r>
        <w:t>招标人（甲方）：</w:t>
      </w:r>
      <w:r>
        <w:rPr>
          <w:u w:val="single"/>
        </w:rPr>
        <w:t xml:space="preserve">长丰供水集团有限公司  </w:t>
      </w:r>
    </w:p>
    <w:p>
      <w:pPr>
        <w:spacing w:after="406" w:line="240" w:lineRule="auto"/>
      </w:pPr>
      <w:r>
        <w:t>服务人（乙方）：</w:t>
      </w:r>
      <w:r>
        <w:rPr>
          <w:u w:val="single" w:color="000000"/>
        </w:rPr>
        <w:t xml:space="preserve"> </w:t>
      </w:r>
      <w:r>
        <w:t xml:space="preserve">                                   </w:t>
      </w:r>
    </w:p>
    <w:p>
      <w:pPr>
        <w:spacing w:after="392" w:line="240" w:lineRule="auto"/>
      </w:pPr>
      <w:r>
        <w:t>项目名称：</w:t>
      </w:r>
      <w:r>
        <w:rPr>
          <w:u w:val="single"/>
        </w:rPr>
        <w:t>长丰供水</w:t>
      </w:r>
      <w:r>
        <w:rPr>
          <w:u w:val="single" w:color="000000"/>
        </w:rPr>
        <w:t>集团</w:t>
      </w:r>
      <w:r>
        <w:rPr>
          <w:rFonts w:hint="eastAsia" w:eastAsiaTheme="minorEastAsia"/>
          <w:u w:val="single" w:color="000000"/>
        </w:rPr>
        <w:t>W</w:t>
      </w:r>
      <w:r>
        <w:rPr>
          <w:rFonts w:eastAsiaTheme="minorEastAsia"/>
          <w:u w:val="single" w:color="000000"/>
        </w:rPr>
        <w:t>MS</w:t>
      </w:r>
      <w:r>
        <w:rPr>
          <w:u w:val="single" w:color="000000"/>
        </w:rPr>
        <w:t>智能仓储管理系统建设</w:t>
      </w:r>
      <w:r>
        <w:t xml:space="preserve"> </w:t>
      </w:r>
    </w:p>
    <w:p>
      <w:pPr>
        <w:spacing w:after="275" w:line="240" w:lineRule="auto"/>
        <w:ind w:right="5128"/>
        <w:rPr>
          <w:u w:val="single" w:color="000000"/>
        </w:rPr>
      </w:pPr>
      <w:r>
        <w:t>项目编号：</w:t>
      </w:r>
      <w:r>
        <w:rPr>
          <w:u w:val="single" w:color="000000"/>
        </w:rPr>
        <w:t xml:space="preserve">                       </w:t>
      </w:r>
    </w:p>
    <w:p>
      <w:pPr>
        <w:spacing w:after="275" w:line="240" w:lineRule="auto"/>
        <w:ind w:right="5128"/>
      </w:pPr>
      <w:r>
        <w:t xml:space="preserve"> 签订地点：</w:t>
      </w:r>
      <w:r>
        <w:rPr>
          <w:u w:val="single" w:color="000000"/>
        </w:rPr>
        <w:t xml:space="preserve">                          </w:t>
      </w:r>
      <w:r>
        <w:t xml:space="preserve"> </w:t>
      </w:r>
    </w:p>
    <w:p>
      <w:pPr>
        <w:spacing w:line="389" w:lineRule="auto"/>
        <w:ind w:left="172" w:firstLine="476"/>
      </w:pPr>
      <w:r>
        <w:t>为满足业务发展的需要，甲方委托乙方对长丰供水集团有限公司的</w:t>
      </w:r>
      <w:r>
        <w:rPr>
          <w:rFonts w:hint="eastAsia" w:eastAsiaTheme="minorEastAsia"/>
        </w:rPr>
        <w:t>W</w:t>
      </w:r>
      <w:r>
        <w:rPr>
          <w:rFonts w:eastAsiaTheme="minorEastAsia"/>
        </w:rPr>
        <w:t>MS</w:t>
      </w:r>
      <w:r>
        <w:t xml:space="preserve">智能仓储管理系统建设进行开发和实施。甲乙双方根据《中华人民共和国民法典》和相关法律、法规，本着平等互利的原则，通过友好协商，订立本合同。 </w:t>
      </w:r>
    </w:p>
    <w:p>
      <w:pPr>
        <w:spacing w:line="389" w:lineRule="auto"/>
        <w:ind w:left="673" w:right="976"/>
      </w:pPr>
      <w:r>
        <w:t>一、功能需求 详见附件：长丰供水集团</w:t>
      </w:r>
      <w:r>
        <w:rPr>
          <w:u w:val="single" w:color="000000"/>
        </w:rPr>
        <w:t>智能仓储管理系统建设需求说明书。</w:t>
      </w:r>
      <w:r>
        <w:t xml:space="preserve"> 二、项目工期及实施要求 </w:t>
      </w:r>
    </w:p>
    <w:p>
      <w:pPr>
        <w:ind w:left="615"/>
      </w:pPr>
      <w:r>
        <w:t>1.工期：合同签订之日起</w:t>
      </w:r>
      <w:r>
        <w:rPr>
          <w:u w:val="single" w:color="000000"/>
        </w:rPr>
        <w:t xml:space="preserve">  30   </w:t>
      </w:r>
      <w:r>
        <w:t>日历天内具备试运行条件，总工期</w:t>
      </w:r>
      <w:r>
        <w:rPr>
          <w:rFonts w:hint="eastAsia" w:eastAsiaTheme="minorEastAsia"/>
        </w:rPr>
        <w:t>9</w:t>
      </w:r>
      <w:r>
        <w:rPr>
          <w:rFonts w:eastAsiaTheme="minorEastAsia"/>
        </w:rPr>
        <w:t>0</w:t>
      </w:r>
      <w:r>
        <w:t xml:space="preserve">日历天所有功能必须全部满足。 </w:t>
      </w:r>
    </w:p>
    <w:p>
      <w:pPr>
        <w:spacing w:line="395" w:lineRule="auto"/>
        <w:ind w:left="172" w:firstLine="418"/>
      </w:pPr>
      <w:r>
        <w:t xml:space="preserve">2.系统开发前，技术方案经甲方审核同意后，方可进行系统开发。乙方需根据甲方要求进行软件的开发、调试和集成。 </w:t>
      </w:r>
    </w:p>
    <w:p>
      <w:pPr>
        <w:ind w:left="673"/>
      </w:pPr>
      <w:r>
        <w:t xml:space="preserve">三、合同价款支付 </w:t>
      </w:r>
    </w:p>
    <w:p>
      <w:pPr>
        <w:ind w:left="673"/>
      </w:pPr>
      <w:r>
        <w:t xml:space="preserve">1.采购产品清单 </w:t>
      </w:r>
    </w:p>
    <w:tbl>
      <w:tblPr>
        <w:tblStyle w:val="11"/>
        <w:tblW w:w="9645" w:type="dxa"/>
        <w:tblInd w:w="65" w:type="dxa"/>
        <w:tblLayout w:type="autofit"/>
        <w:tblCellMar>
          <w:top w:w="0" w:type="dxa"/>
          <w:left w:w="108" w:type="dxa"/>
          <w:bottom w:w="0" w:type="dxa"/>
          <w:right w:w="43" w:type="dxa"/>
        </w:tblCellMar>
      </w:tblPr>
      <w:tblGrid>
        <w:gridCol w:w="850"/>
        <w:gridCol w:w="2338"/>
        <w:gridCol w:w="992"/>
        <w:gridCol w:w="851"/>
        <w:gridCol w:w="836"/>
        <w:gridCol w:w="851"/>
        <w:gridCol w:w="1125"/>
        <w:gridCol w:w="966"/>
        <w:gridCol w:w="836"/>
      </w:tblGrid>
      <w:tr>
        <w:tblPrEx>
          <w:tblCellMar>
            <w:top w:w="0" w:type="dxa"/>
            <w:left w:w="108" w:type="dxa"/>
            <w:bottom w:w="0" w:type="dxa"/>
            <w:right w:w="43" w:type="dxa"/>
          </w:tblCellMar>
        </w:tblPrEx>
        <w:trPr>
          <w:trHeight w:val="649" w:hRule="atLeast"/>
        </w:trPr>
        <w:tc>
          <w:tcPr>
            <w:tcW w:w="850"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72" w:right="0" w:firstLine="0"/>
              <w:jc w:val="both"/>
            </w:pPr>
            <w:r>
              <w:t xml:space="preserve">序号 </w:t>
            </w:r>
          </w:p>
        </w:tc>
        <w:tc>
          <w:tcPr>
            <w:tcW w:w="233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名称 </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86" w:right="0" w:firstLine="0"/>
              <w:jc w:val="both"/>
            </w:pPr>
            <w:r>
              <w:t xml:space="preserve">规格型号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43" w:right="0" w:firstLine="0"/>
              <w:jc w:val="both"/>
            </w:pPr>
            <w:r>
              <w:t xml:space="preserve">品牌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jc w:val="both"/>
            </w:pPr>
            <w:r>
              <w:t xml:space="preserve">数量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58" w:right="0" w:firstLine="0"/>
              <w:jc w:val="both"/>
            </w:pPr>
            <w:r>
              <w:t xml:space="preserve">单位 </w:t>
            </w:r>
          </w:p>
        </w:tc>
        <w:tc>
          <w:tcPr>
            <w:tcW w:w="1125" w:type="dxa"/>
            <w:tcBorders>
              <w:top w:val="single" w:color="000000" w:sz="6" w:space="0"/>
              <w:left w:val="single" w:color="000000" w:sz="6" w:space="0"/>
              <w:bottom w:val="single" w:color="000000" w:sz="6" w:space="0"/>
              <w:right w:val="single" w:color="000000" w:sz="6" w:space="0"/>
            </w:tcBorders>
          </w:tcPr>
          <w:p>
            <w:pPr>
              <w:spacing w:after="60" w:line="240" w:lineRule="auto"/>
              <w:ind w:left="188" w:right="0" w:firstLine="0"/>
            </w:pPr>
            <w:r>
              <w:t>单价</w:t>
            </w:r>
          </w:p>
          <w:p>
            <w:pPr>
              <w:spacing w:after="0" w:line="276" w:lineRule="auto"/>
              <w:ind w:left="58" w:right="0" w:firstLine="0"/>
              <w:jc w:val="both"/>
            </w:pPr>
            <w:r>
              <w:t xml:space="preserve">（元） </w:t>
            </w:r>
          </w:p>
        </w:tc>
        <w:tc>
          <w:tcPr>
            <w:tcW w:w="966" w:type="dxa"/>
            <w:tcBorders>
              <w:top w:val="single" w:color="000000" w:sz="6" w:space="0"/>
              <w:left w:val="single" w:color="000000" w:sz="6" w:space="0"/>
              <w:bottom w:val="single" w:color="000000" w:sz="6" w:space="0"/>
              <w:right w:val="single" w:color="000000" w:sz="6" w:space="0"/>
            </w:tcBorders>
          </w:tcPr>
          <w:p>
            <w:pPr>
              <w:spacing w:after="60" w:line="240" w:lineRule="auto"/>
              <w:ind w:left="115" w:right="0" w:firstLine="0"/>
              <w:jc w:val="both"/>
            </w:pPr>
            <w:r>
              <w:t>合计</w:t>
            </w:r>
          </w:p>
          <w:p>
            <w:pPr>
              <w:spacing w:after="0" w:line="276" w:lineRule="auto"/>
              <w:ind w:left="0" w:right="0" w:firstLine="0"/>
              <w:jc w:val="both"/>
            </w:pPr>
            <w:r>
              <w:t xml:space="preserve">（元）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44" w:right="0" w:firstLine="0"/>
              <w:jc w:val="both"/>
            </w:pPr>
            <w:r>
              <w:t xml:space="preserve">备注 </w:t>
            </w:r>
          </w:p>
        </w:tc>
      </w:tr>
      <w:tr>
        <w:tblPrEx>
          <w:tblCellMar>
            <w:top w:w="0" w:type="dxa"/>
            <w:left w:w="108" w:type="dxa"/>
            <w:bottom w:w="0" w:type="dxa"/>
            <w:right w:w="43" w:type="dxa"/>
          </w:tblCellMar>
        </w:tblPrEx>
        <w:trPr>
          <w:trHeight w:val="576" w:hRule="atLeast"/>
        </w:trPr>
        <w:tc>
          <w:tcPr>
            <w:tcW w:w="850"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1 </w:t>
            </w:r>
          </w:p>
        </w:tc>
        <w:tc>
          <w:tcPr>
            <w:tcW w:w="233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现有财务系统接口开发 </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1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88" w:right="0" w:firstLine="0"/>
            </w:pPr>
            <w:r>
              <w:t xml:space="preserve">套 </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96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8" w:type="dxa"/>
            <w:bottom w:w="0" w:type="dxa"/>
            <w:right w:w="43" w:type="dxa"/>
          </w:tblCellMar>
        </w:tblPrEx>
        <w:trPr>
          <w:trHeight w:val="577" w:hRule="atLeast"/>
        </w:trPr>
        <w:tc>
          <w:tcPr>
            <w:tcW w:w="850"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2 </w:t>
            </w:r>
          </w:p>
        </w:tc>
        <w:tc>
          <w:tcPr>
            <w:tcW w:w="233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15" w:right="0" w:firstLine="0"/>
              <w:jc w:val="both"/>
            </w:pPr>
            <w:r>
              <w:rPr>
                <w:rFonts w:hint="eastAsia" w:eastAsiaTheme="minorEastAsia"/>
              </w:rPr>
              <w:t>W</w:t>
            </w:r>
            <w:r>
              <w:rPr>
                <w:rFonts w:eastAsiaTheme="minorEastAsia"/>
              </w:rPr>
              <w:t>MS</w:t>
            </w:r>
            <w:r>
              <w:t xml:space="preserve">仓储管理软件 </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1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88" w:right="0" w:firstLine="0"/>
            </w:pPr>
            <w:r>
              <w:t xml:space="preserve">套 </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96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8" w:type="dxa"/>
            <w:bottom w:w="0" w:type="dxa"/>
            <w:right w:w="43" w:type="dxa"/>
          </w:tblCellMar>
        </w:tblPrEx>
        <w:trPr>
          <w:trHeight w:val="634" w:hRule="atLeast"/>
        </w:trPr>
        <w:tc>
          <w:tcPr>
            <w:tcW w:w="850"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3 </w:t>
            </w:r>
          </w:p>
        </w:tc>
        <w:tc>
          <w:tcPr>
            <w:tcW w:w="233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合计 </w:t>
            </w:r>
          </w:p>
        </w:tc>
        <w:tc>
          <w:tcPr>
            <w:tcW w:w="6457" w:type="dxa"/>
            <w:gridSpan w:val="7"/>
            <w:tcBorders>
              <w:top w:val="single" w:color="000000" w:sz="6" w:space="0"/>
              <w:left w:val="single" w:color="000000" w:sz="6" w:space="0"/>
              <w:bottom w:val="single" w:color="000000" w:sz="6" w:space="0"/>
              <w:right w:val="single" w:color="000000" w:sz="6" w:space="0"/>
            </w:tcBorders>
          </w:tcPr>
          <w:p>
            <w:pPr>
              <w:spacing w:after="60" w:line="240" w:lineRule="auto"/>
              <w:ind w:left="0" w:right="0" w:firstLine="0"/>
              <w:jc w:val="center"/>
            </w:pPr>
            <w:r>
              <w:t xml:space="preserve"> </w:t>
            </w:r>
          </w:p>
          <w:p>
            <w:pPr>
              <w:spacing w:after="0" w:line="276" w:lineRule="auto"/>
              <w:ind w:left="0" w:right="0" w:firstLine="0"/>
              <w:jc w:val="center"/>
            </w:pPr>
            <w:r>
              <w:t xml:space="preserve"> </w:t>
            </w:r>
          </w:p>
        </w:tc>
      </w:tr>
    </w:tbl>
    <w:p>
      <w:pPr>
        <w:spacing w:after="226" w:line="419" w:lineRule="auto"/>
        <w:ind w:left="0" w:right="0" w:firstLine="0"/>
        <w:rPr>
          <w:rFonts w:eastAsiaTheme="minorEastAsia"/>
        </w:rPr>
      </w:pPr>
    </w:p>
    <w:p>
      <w:pPr>
        <w:spacing w:after="226" w:line="419" w:lineRule="auto"/>
        <w:ind w:left="0" w:right="0" w:firstLine="0"/>
        <w:rPr>
          <w:rFonts w:eastAsiaTheme="minorEastAsia"/>
        </w:rPr>
      </w:pPr>
    </w:p>
    <w:p>
      <w:pPr>
        <w:spacing w:after="226" w:line="419" w:lineRule="auto"/>
        <w:ind w:left="0" w:right="0" w:firstLine="0"/>
        <w:rPr>
          <w:rFonts w:eastAsiaTheme="minorEastAsia"/>
        </w:rPr>
      </w:pPr>
      <w:r>
        <w:t>2.付款方式：</w:t>
      </w:r>
    </w:p>
    <w:p>
      <w:pPr>
        <w:spacing w:after="226" w:line="419" w:lineRule="auto"/>
        <w:ind w:left="0" w:right="0" w:firstLine="720" w:firstLineChars="300"/>
        <w:rPr>
          <w:rFonts w:eastAsiaTheme="minorEastAsia"/>
        </w:rPr>
      </w:pPr>
      <w:r>
        <w:t>1.项目无预付款，中标人完成</w:t>
      </w:r>
      <w:r>
        <w:rPr>
          <w:rFonts w:hint="eastAsia" w:eastAsiaTheme="minorEastAsia"/>
        </w:rPr>
        <w:t>W</w:t>
      </w:r>
      <w:r>
        <w:rPr>
          <w:rFonts w:eastAsiaTheme="minorEastAsia"/>
        </w:rPr>
        <w:t>MS</w:t>
      </w:r>
      <w:r>
        <w:t>智能仓储系统所有功能的开发且具备上线条件，上线试运行后支付至合同总金额的</w:t>
      </w:r>
      <w:r>
        <w:rPr>
          <w:rFonts w:ascii="Tahoma" w:hAnsi="Tahoma" w:eastAsia="Tahoma" w:cs="Tahoma"/>
        </w:rPr>
        <w:t>70%</w:t>
      </w:r>
      <w:r>
        <w:t>；</w:t>
      </w:r>
      <w:r>
        <w:rPr>
          <w:rFonts w:ascii="Tahoma" w:hAnsi="Tahoma" w:eastAsia="Tahoma" w:cs="Tahoma"/>
        </w:rPr>
        <w:t xml:space="preserve"> </w:t>
      </w:r>
    </w:p>
    <w:p>
      <w:pPr>
        <w:spacing w:after="246" w:line="240" w:lineRule="auto"/>
        <w:ind w:left="0" w:right="0" w:firstLine="720" w:firstLineChars="300"/>
      </w:pPr>
      <w:r>
        <w:rPr>
          <w:rFonts w:ascii="Tahoma" w:hAnsi="Tahoma" w:eastAsia="Tahoma" w:cs="Tahoma"/>
        </w:rPr>
        <w:t>2.</w:t>
      </w:r>
      <w:r>
        <w:t xml:space="preserve">验收合格后一个月内，支付至合同总金额的 </w:t>
      </w:r>
      <w:r>
        <w:rPr>
          <w:rFonts w:ascii="Tahoma" w:hAnsi="Tahoma" w:eastAsia="Tahoma" w:cs="Tahoma"/>
        </w:rPr>
        <w:t>97%</w:t>
      </w:r>
      <w:r>
        <w:t>；</w:t>
      </w:r>
      <w:r>
        <w:rPr>
          <w:rFonts w:ascii="Tahoma" w:hAnsi="Tahoma" w:eastAsia="Tahoma" w:cs="Tahoma"/>
        </w:rPr>
        <w:t xml:space="preserve"> </w:t>
      </w:r>
    </w:p>
    <w:p>
      <w:pPr>
        <w:spacing w:line="389" w:lineRule="auto"/>
        <w:ind w:left="172" w:firstLine="476"/>
        <w:rPr>
          <w:rFonts w:eastAsiaTheme="minorEastAsia"/>
        </w:rPr>
      </w:pPr>
      <w:r>
        <w:rPr>
          <w:rFonts w:ascii="Tahoma" w:hAnsi="Tahoma" w:eastAsia="Tahoma" w:cs="Tahoma"/>
        </w:rPr>
        <w:t>3.验收合格质保期内</w:t>
      </w:r>
      <w:r>
        <w:t xml:space="preserve">无质量和售后服务问题后 </w:t>
      </w:r>
      <w:r>
        <w:rPr>
          <w:rFonts w:ascii="Tahoma" w:hAnsi="Tahoma" w:eastAsia="Tahoma" w:cs="Tahoma"/>
        </w:rPr>
        <w:t xml:space="preserve">30 </w:t>
      </w:r>
      <w:r>
        <w:t xml:space="preserve">个日历天内一次性无息支付剩余 </w:t>
      </w:r>
      <w:r>
        <w:rPr>
          <w:rFonts w:ascii="Tahoma" w:hAnsi="Tahoma" w:eastAsia="Tahoma" w:cs="Tahoma"/>
        </w:rPr>
        <w:t>3%</w:t>
      </w:r>
      <w:r>
        <w:t>款项；</w:t>
      </w:r>
    </w:p>
    <w:p>
      <w:pPr>
        <w:spacing w:line="389" w:lineRule="auto"/>
        <w:ind w:left="172" w:firstLine="476"/>
      </w:pPr>
      <w:r>
        <w:t xml:space="preserve">系统全部功能具备上线条件后，由甲方与乙方共同组织验收，按招标文件要求、甲方确认的详细设计方案对该部分功能进行功能性、稳定性、安全性、等保测试，测试合格后由甲方填写“项目验收表”，“验收表”由甲方及乙方共同签名，并加盖公章。 在软件开发过程中，乙方应按照软件开发要求形成全面详尽的技术资料，包括可运行的程序及技术文档等（包含软件验收后调整和补充的项目成果和资料），确保技术资料的一致性和完整性。相关提交文档参考下表但不限于下表相关内容： </w:t>
      </w:r>
    </w:p>
    <w:tbl>
      <w:tblPr>
        <w:tblStyle w:val="11"/>
        <w:tblW w:w="9645"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86" w:type="dxa"/>
        </w:tblCellMar>
      </w:tblPr>
      <w:tblGrid>
        <w:gridCol w:w="1240"/>
        <w:gridCol w:w="1888"/>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86" w:type="dxa"/>
          </w:tblCellMar>
        </w:tblPrEx>
        <w:trPr>
          <w:trHeight w:val="476" w:hRule="atLeast"/>
        </w:trPr>
        <w:tc>
          <w:tcPr>
            <w:tcW w:w="1240" w:type="dxa"/>
          </w:tcPr>
          <w:p>
            <w:pPr>
              <w:spacing w:after="0" w:line="276" w:lineRule="auto"/>
              <w:ind w:left="274" w:right="0" w:firstLine="0"/>
            </w:pPr>
            <w:r>
              <w:t xml:space="preserve">序号 </w:t>
            </w:r>
          </w:p>
        </w:tc>
        <w:tc>
          <w:tcPr>
            <w:tcW w:w="1888" w:type="dxa"/>
          </w:tcPr>
          <w:p>
            <w:pPr>
              <w:spacing w:after="0" w:line="276" w:lineRule="auto"/>
              <w:ind w:left="0" w:right="0" w:firstLine="0"/>
              <w:jc w:val="center"/>
            </w:pPr>
            <w:r>
              <w:t xml:space="preserve">工作阶段 </w:t>
            </w:r>
          </w:p>
        </w:tc>
        <w:tc>
          <w:tcPr>
            <w:tcW w:w="6517" w:type="dxa"/>
          </w:tcPr>
          <w:p>
            <w:pPr>
              <w:spacing w:after="0" w:line="276" w:lineRule="auto"/>
              <w:ind w:left="0" w:right="0" w:firstLine="0"/>
              <w:jc w:val="center"/>
            </w:pPr>
            <w:r>
              <w:t xml:space="preserve">提交文档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86" w:type="dxa"/>
          </w:tblCellMar>
        </w:tblPrEx>
        <w:trPr>
          <w:trHeight w:val="490" w:hRule="atLeast"/>
        </w:trPr>
        <w:tc>
          <w:tcPr>
            <w:tcW w:w="1240" w:type="dxa"/>
          </w:tcPr>
          <w:p>
            <w:pPr>
              <w:spacing w:after="0" w:line="276" w:lineRule="auto"/>
              <w:ind w:left="0" w:right="0" w:firstLine="0"/>
              <w:jc w:val="center"/>
            </w:pPr>
            <w:r>
              <w:t xml:space="preserve">1 </w:t>
            </w:r>
          </w:p>
        </w:tc>
        <w:tc>
          <w:tcPr>
            <w:tcW w:w="1888" w:type="dxa"/>
          </w:tcPr>
          <w:p>
            <w:pPr>
              <w:spacing w:after="0" w:line="276" w:lineRule="auto"/>
              <w:ind w:left="0" w:right="0" w:firstLine="0"/>
              <w:jc w:val="center"/>
            </w:pPr>
            <w:r>
              <w:t xml:space="preserve">前期阶段 </w:t>
            </w:r>
          </w:p>
        </w:tc>
        <w:tc>
          <w:tcPr>
            <w:tcW w:w="6517" w:type="dxa"/>
          </w:tcPr>
          <w:p>
            <w:pPr>
              <w:spacing w:after="0" w:line="276" w:lineRule="auto"/>
              <w:ind w:left="0" w:right="0" w:firstLine="0"/>
              <w:jc w:val="center"/>
            </w:pPr>
            <w:r>
              <w:t xml:space="preserve">项目开发计划和方案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86" w:type="dxa"/>
          </w:tblCellMar>
        </w:tblPrEx>
        <w:trPr>
          <w:trHeight w:val="476" w:hRule="atLeast"/>
        </w:trPr>
        <w:tc>
          <w:tcPr>
            <w:tcW w:w="1240" w:type="dxa"/>
          </w:tcPr>
          <w:p>
            <w:pPr>
              <w:spacing w:after="0" w:line="276" w:lineRule="auto"/>
              <w:ind w:left="0" w:right="0" w:firstLine="0"/>
              <w:jc w:val="center"/>
            </w:pPr>
            <w:r>
              <w:t xml:space="preserve">2 </w:t>
            </w:r>
          </w:p>
        </w:tc>
        <w:tc>
          <w:tcPr>
            <w:tcW w:w="1888" w:type="dxa"/>
          </w:tcPr>
          <w:p>
            <w:pPr>
              <w:spacing w:after="0" w:line="276" w:lineRule="auto"/>
              <w:ind w:left="0" w:right="0" w:firstLine="0"/>
              <w:jc w:val="center"/>
            </w:pPr>
            <w:r>
              <w:t xml:space="preserve">需求分析 </w:t>
            </w:r>
          </w:p>
        </w:tc>
        <w:tc>
          <w:tcPr>
            <w:tcW w:w="6517" w:type="dxa"/>
          </w:tcPr>
          <w:p>
            <w:pPr>
              <w:spacing w:after="0" w:line="276" w:lineRule="auto"/>
              <w:ind w:left="0" w:right="0" w:firstLine="0"/>
              <w:jc w:val="center"/>
            </w:pPr>
            <w:r>
              <w:t xml:space="preserve">软件需求分析说明书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86" w:type="dxa"/>
          </w:tblCellMar>
        </w:tblPrEx>
        <w:trPr>
          <w:trHeight w:val="476" w:hRule="atLeast"/>
        </w:trPr>
        <w:tc>
          <w:tcPr>
            <w:tcW w:w="1240" w:type="dxa"/>
          </w:tcPr>
          <w:p>
            <w:pPr>
              <w:spacing w:after="0" w:line="276" w:lineRule="auto"/>
              <w:ind w:left="0" w:right="0" w:firstLine="0"/>
              <w:jc w:val="center"/>
            </w:pPr>
            <w:r>
              <w:t xml:space="preserve">3 </w:t>
            </w:r>
          </w:p>
        </w:tc>
        <w:tc>
          <w:tcPr>
            <w:tcW w:w="1888" w:type="dxa"/>
          </w:tcPr>
          <w:p>
            <w:pPr>
              <w:spacing w:after="0" w:line="276" w:lineRule="auto"/>
              <w:ind w:left="100" w:right="0" w:firstLine="0"/>
              <w:jc w:val="both"/>
            </w:pPr>
            <w:r>
              <w:t xml:space="preserve">应用系统设计 </w:t>
            </w:r>
          </w:p>
        </w:tc>
        <w:tc>
          <w:tcPr>
            <w:tcW w:w="6517" w:type="dxa"/>
          </w:tcPr>
          <w:p>
            <w:pPr>
              <w:spacing w:after="0" w:line="276" w:lineRule="auto"/>
              <w:ind w:left="0" w:right="0" w:firstLine="0"/>
              <w:jc w:val="center"/>
            </w:pPr>
            <w:r>
              <w:t xml:space="preserve">软件设计说明书、数据库结构文件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86" w:type="dxa"/>
          </w:tblCellMar>
        </w:tblPrEx>
        <w:trPr>
          <w:trHeight w:val="475" w:hRule="atLeast"/>
        </w:trPr>
        <w:tc>
          <w:tcPr>
            <w:tcW w:w="1240" w:type="dxa"/>
          </w:tcPr>
          <w:p>
            <w:pPr>
              <w:spacing w:after="0" w:line="276" w:lineRule="auto"/>
              <w:ind w:left="0" w:right="0" w:firstLine="0"/>
              <w:jc w:val="center"/>
            </w:pPr>
            <w:r>
              <w:t xml:space="preserve">4 </w:t>
            </w:r>
          </w:p>
        </w:tc>
        <w:tc>
          <w:tcPr>
            <w:tcW w:w="1888" w:type="dxa"/>
          </w:tcPr>
          <w:p>
            <w:pPr>
              <w:spacing w:after="0" w:line="276" w:lineRule="auto"/>
              <w:ind w:left="0" w:right="0" w:firstLine="0"/>
              <w:jc w:val="center"/>
            </w:pPr>
            <w:r>
              <w:t xml:space="preserve">软件测试 </w:t>
            </w:r>
          </w:p>
        </w:tc>
        <w:tc>
          <w:tcPr>
            <w:tcW w:w="6517" w:type="dxa"/>
          </w:tcPr>
          <w:p>
            <w:pPr>
              <w:spacing w:after="0" w:line="276" w:lineRule="auto"/>
              <w:ind w:left="0" w:right="0" w:firstLine="0"/>
              <w:jc w:val="center"/>
            </w:pPr>
            <w:r>
              <w:t xml:space="preserve">系统测试报告、用户操作手册、软件安装维护手册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86" w:type="dxa"/>
          </w:tblCellMar>
        </w:tblPrEx>
        <w:trPr>
          <w:trHeight w:val="476" w:hRule="atLeast"/>
        </w:trPr>
        <w:tc>
          <w:tcPr>
            <w:tcW w:w="1240" w:type="dxa"/>
          </w:tcPr>
          <w:p>
            <w:pPr>
              <w:spacing w:after="0" w:line="276" w:lineRule="auto"/>
              <w:ind w:left="0" w:right="0" w:firstLine="0"/>
              <w:jc w:val="center"/>
            </w:pPr>
            <w:r>
              <w:t xml:space="preserve">5 </w:t>
            </w:r>
          </w:p>
        </w:tc>
        <w:tc>
          <w:tcPr>
            <w:tcW w:w="1888" w:type="dxa"/>
          </w:tcPr>
          <w:p>
            <w:pPr>
              <w:spacing w:after="0" w:line="276" w:lineRule="auto"/>
              <w:ind w:left="0" w:right="0" w:firstLine="0"/>
              <w:jc w:val="center"/>
            </w:pPr>
            <w:r>
              <w:t xml:space="preserve">系统验收 </w:t>
            </w:r>
          </w:p>
        </w:tc>
        <w:tc>
          <w:tcPr>
            <w:tcW w:w="6517" w:type="dxa"/>
          </w:tcPr>
          <w:p>
            <w:pPr>
              <w:spacing w:after="0" w:line="276" w:lineRule="auto"/>
              <w:ind w:left="0" w:right="0" w:firstLine="0"/>
              <w:jc w:val="center"/>
            </w:pPr>
            <w:r>
              <w:t xml:space="preserve">项目总结报告、数据字典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86" w:type="dxa"/>
          </w:tblCellMar>
        </w:tblPrEx>
        <w:trPr>
          <w:trHeight w:val="490" w:hRule="atLeast"/>
        </w:trPr>
        <w:tc>
          <w:tcPr>
            <w:tcW w:w="1240" w:type="dxa"/>
          </w:tcPr>
          <w:p>
            <w:pPr>
              <w:spacing w:after="0" w:line="276" w:lineRule="auto"/>
              <w:ind w:left="0" w:right="0" w:firstLine="0"/>
              <w:jc w:val="center"/>
            </w:pPr>
            <w:r>
              <w:t xml:space="preserve">6 </w:t>
            </w:r>
          </w:p>
        </w:tc>
        <w:tc>
          <w:tcPr>
            <w:tcW w:w="1888" w:type="dxa"/>
          </w:tcPr>
          <w:p>
            <w:pPr>
              <w:spacing w:after="0" w:line="276" w:lineRule="auto"/>
              <w:ind w:left="0" w:right="0" w:firstLine="0"/>
              <w:jc w:val="center"/>
            </w:pPr>
            <w:r>
              <w:t xml:space="preserve">培训 </w:t>
            </w:r>
          </w:p>
        </w:tc>
        <w:tc>
          <w:tcPr>
            <w:tcW w:w="6517" w:type="dxa"/>
          </w:tcPr>
          <w:p>
            <w:pPr>
              <w:spacing w:after="0" w:line="276" w:lineRule="auto"/>
              <w:ind w:left="0" w:right="0" w:firstLine="0"/>
              <w:jc w:val="center"/>
            </w:pPr>
            <w:r>
              <w:t xml:space="preserve">培训计划、培训材料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86" w:type="dxa"/>
          </w:tblCellMar>
        </w:tblPrEx>
        <w:trPr>
          <w:trHeight w:val="476" w:hRule="atLeast"/>
        </w:trPr>
        <w:tc>
          <w:tcPr>
            <w:tcW w:w="1240" w:type="dxa"/>
          </w:tcPr>
          <w:p>
            <w:pPr>
              <w:spacing w:after="0" w:line="276" w:lineRule="auto"/>
              <w:ind w:left="0" w:right="0" w:firstLine="0"/>
              <w:jc w:val="center"/>
            </w:pPr>
            <w:r>
              <w:t xml:space="preserve">7 </w:t>
            </w:r>
          </w:p>
        </w:tc>
        <w:tc>
          <w:tcPr>
            <w:tcW w:w="1888" w:type="dxa"/>
          </w:tcPr>
          <w:p>
            <w:pPr>
              <w:spacing w:after="0" w:line="276" w:lineRule="auto"/>
              <w:ind w:left="0" w:right="0" w:firstLine="0"/>
              <w:jc w:val="center"/>
            </w:pPr>
            <w:r>
              <w:t xml:space="preserve">系统维护 </w:t>
            </w:r>
          </w:p>
        </w:tc>
        <w:tc>
          <w:tcPr>
            <w:tcW w:w="6517" w:type="dxa"/>
          </w:tcPr>
          <w:p>
            <w:pPr>
              <w:spacing w:after="0" w:line="276" w:lineRule="auto"/>
              <w:ind w:left="331" w:right="0" w:firstLine="0"/>
            </w:pPr>
            <w:r>
              <w:t xml:space="preserve">根据系统修改升级的情况，提供前期各文档的最新版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86" w:type="dxa"/>
          </w:tblCellMar>
        </w:tblPrEx>
        <w:trPr>
          <w:trHeight w:val="2335" w:hRule="atLeast"/>
        </w:trPr>
        <w:tc>
          <w:tcPr>
            <w:tcW w:w="1240" w:type="dxa"/>
          </w:tcPr>
          <w:p>
            <w:pPr>
              <w:spacing w:after="0" w:line="276" w:lineRule="auto"/>
              <w:ind w:left="0" w:right="0" w:firstLine="0"/>
              <w:jc w:val="center"/>
            </w:pPr>
            <w:r>
              <w:t xml:space="preserve">8 </w:t>
            </w:r>
          </w:p>
        </w:tc>
        <w:tc>
          <w:tcPr>
            <w:tcW w:w="1888" w:type="dxa"/>
          </w:tcPr>
          <w:p>
            <w:pPr>
              <w:spacing w:after="0" w:line="276" w:lineRule="auto"/>
              <w:ind w:left="0" w:right="0" w:firstLine="0"/>
              <w:jc w:val="center"/>
            </w:pPr>
            <w:r>
              <w:t xml:space="preserve">其他 </w:t>
            </w:r>
          </w:p>
        </w:tc>
        <w:tc>
          <w:tcPr>
            <w:tcW w:w="6517" w:type="dxa"/>
          </w:tcPr>
          <w:p>
            <w:pPr>
              <w:spacing w:after="219" w:line="240" w:lineRule="auto"/>
              <w:ind w:left="0" w:right="17" w:firstLine="0"/>
              <w:jc w:val="right"/>
            </w:pPr>
            <w:r>
              <w:t>项目工作周报、月报、为应用软件开发配套的支持库及</w:t>
            </w:r>
          </w:p>
          <w:p>
            <w:pPr>
              <w:spacing w:after="205" w:line="240" w:lineRule="auto"/>
              <w:ind w:left="0" w:right="0" w:firstLine="0"/>
            </w:pPr>
            <w:r>
              <w:t xml:space="preserve">使用说明、应用软件配套的开发工具， </w:t>
            </w:r>
          </w:p>
          <w:p>
            <w:pPr>
              <w:pStyle w:val="12"/>
              <w:numPr>
                <w:ilvl w:val="0"/>
                <w:numId w:val="2"/>
              </w:numPr>
              <w:spacing w:after="219" w:line="240" w:lineRule="auto"/>
              <w:ind w:right="0" w:firstLineChars="0"/>
            </w:pPr>
            <w:r>
              <w:t xml:space="preserve">系统维护说明文件；  </w:t>
            </w:r>
          </w:p>
          <w:p>
            <w:pPr>
              <w:pStyle w:val="12"/>
              <w:numPr>
                <w:ilvl w:val="0"/>
                <w:numId w:val="2"/>
              </w:numPr>
              <w:spacing w:after="219" w:line="240" w:lineRule="auto"/>
              <w:ind w:right="0" w:firstLineChars="0"/>
            </w:pPr>
            <w:r>
              <w:t>统一物资编码规则成果；</w:t>
            </w:r>
          </w:p>
          <w:p>
            <w:pPr>
              <w:pStyle w:val="12"/>
              <w:numPr>
                <w:ilvl w:val="0"/>
                <w:numId w:val="2"/>
              </w:numPr>
              <w:spacing w:after="219" w:line="240" w:lineRule="auto"/>
              <w:ind w:right="0" w:firstLineChars="0"/>
            </w:pPr>
            <w:r>
              <w:t>为应用软件开发配套的支持库及使用说明。</w:t>
            </w:r>
          </w:p>
        </w:tc>
      </w:tr>
    </w:tbl>
    <w:p>
      <w:pPr>
        <w:ind w:left="673"/>
      </w:pPr>
      <w:r>
        <w:t xml:space="preserve">五、质保和服务要求 </w:t>
      </w:r>
    </w:p>
    <w:p>
      <w:pPr>
        <w:ind w:left="615"/>
      </w:pPr>
      <w:r>
        <w:t xml:space="preserve">1.质保要求 </w:t>
      </w:r>
    </w:p>
    <w:p>
      <w:pPr>
        <w:spacing w:line="395" w:lineRule="auto"/>
        <w:ind w:left="172" w:firstLine="418"/>
      </w:pPr>
      <w:r>
        <w:t xml:space="preserve">（1）质保期3年，从项目全部完成，验收合格之日开始起算。质保期内乙方负责系统维护、技术咨询、软件版本升级以及其他相关维护保障工作。 </w:t>
      </w:r>
    </w:p>
    <w:p>
      <w:pPr>
        <w:ind w:left="615"/>
      </w:pPr>
      <w:r>
        <w:t xml:space="preserve">（2）质保期内提供7×24线上服务，所有上门服务均不再收取费用 </w:t>
      </w:r>
    </w:p>
    <w:p>
      <w:pPr>
        <w:spacing w:line="387" w:lineRule="auto"/>
        <w:ind w:left="172" w:firstLine="418"/>
      </w:pPr>
      <w:r>
        <w:t xml:space="preserve">（3）软件故障保修的响应时间：接到系统出现问题的电话后，2小时内给予答复。若电话中无法解决，应在24小时内到达现场进行维护支持。对于影响运行需要立即解决的重大故障，在接到报障电话12小时内完全修复。确保系统的稳定运行，确保能够及时处理和解决问题，保障涉及用户服务的各项业务的开展 </w:t>
      </w:r>
    </w:p>
    <w:p>
      <w:pPr>
        <w:ind w:left="615"/>
      </w:pPr>
      <w:r>
        <w:t xml:space="preserve">（4）每年对系统运行状况进行两次免费评估服务。 </w:t>
      </w:r>
    </w:p>
    <w:p>
      <w:pPr>
        <w:ind w:left="615"/>
      </w:pPr>
      <w:r>
        <w:t xml:space="preserve">（5）乙方对所开发的软件出现漏洞造成的故障，实行终身免费修改维护。 </w:t>
      </w:r>
    </w:p>
    <w:p>
      <w:pPr>
        <w:ind w:left="615"/>
      </w:pPr>
      <w:r>
        <w:t xml:space="preserve">2.培训要求： </w:t>
      </w:r>
    </w:p>
    <w:p>
      <w:pPr>
        <w:spacing w:line="390" w:lineRule="auto"/>
        <w:ind w:left="172" w:right="160" w:firstLine="418"/>
      </w:pPr>
      <w:r>
        <w:t xml:space="preserve">乙方应负责安排对甲方操作人员、系统维护人员进行培训，以确保甲方人员全面理解系统、熟练操作，系统维护人员应能完成各项系统维护工作。 要求乙方为甲方设计一个专门的培训计划，培训不同层面的使用人员。培训计划包括但不限于以下内容: （1）数据库系统开发人员培训 提供完整的数据库管理课程培训，完成课程后能熟练掌握系统数据库管理，并能进行对数据库维护、设计和开发。 </w:t>
      </w:r>
    </w:p>
    <w:p>
      <w:pPr>
        <w:spacing w:line="390" w:lineRule="auto"/>
        <w:ind w:left="172" w:right="160" w:firstLine="418"/>
      </w:pPr>
      <w:r>
        <w:t xml:space="preserve">（2）操作人员培训提供完整的操作人员培训，完成课程后能够熟练掌握相应系统功能的操作。 </w:t>
      </w:r>
    </w:p>
    <w:p>
      <w:pPr>
        <w:ind w:left="615"/>
      </w:pPr>
      <w:r>
        <w:t xml:space="preserve">（3）系统管理员培训 </w:t>
      </w:r>
    </w:p>
    <w:p>
      <w:pPr>
        <w:spacing w:line="389" w:lineRule="auto"/>
        <w:ind w:left="172" w:firstLine="418"/>
      </w:pPr>
      <w:r>
        <w:t xml:space="preserve">提供完整的系统管理员培训，包括系统的安装、使用、配置、维护和相关数据库、平台、组态画面开发等内容。并根据需求说明书和甲方要求，制定使用手册和相关规章制度。并根据需求说明书和甲方要求，制定使用手册和相关规章制度。 </w:t>
      </w:r>
    </w:p>
    <w:p>
      <w:pPr>
        <w:ind w:left="615"/>
      </w:pPr>
      <w:r>
        <w:t xml:space="preserve">3.技术服务 </w:t>
      </w:r>
    </w:p>
    <w:p>
      <w:pPr>
        <w:spacing w:line="395" w:lineRule="auto"/>
        <w:ind w:left="172" w:firstLine="418"/>
      </w:pPr>
      <w:r>
        <w:t xml:space="preserve">（一）现场服务：在项目建设期间，乙方安排专人常驻项目为甲方服务，服务内容包括但不限于：现有财务系统互联互通、统一物资编码规则等。 </w:t>
      </w:r>
    </w:p>
    <w:p>
      <w:pPr>
        <w:spacing w:line="395" w:lineRule="auto"/>
        <w:ind w:left="172" w:firstLine="418"/>
      </w:pPr>
      <w:r>
        <w:t xml:space="preserve">（二）升级服务：提出在正常条件下保证系统正常稳定运行的系统扩充、版本更新升级及功能更新服务措施。 </w:t>
      </w:r>
    </w:p>
    <w:p>
      <w:pPr>
        <w:spacing w:line="383" w:lineRule="auto"/>
        <w:ind w:left="172" w:firstLine="418"/>
      </w:pPr>
      <w:r>
        <w:t xml:space="preserve">（三）优化服务：提出在正常条件下改进系统性能的各项建议，包括系统资源分配与效率改进建议、软件配置规划和性能优化建议、系统容量预测建议等。 </w:t>
      </w:r>
    </w:p>
    <w:p>
      <w:pPr>
        <w:ind w:left="615"/>
      </w:pPr>
      <w:r>
        <w:t xml:space="preserve">(四）咨询服务：终身提供免费的系统软件应用和维护技术咨询服务。 </w:t>
      </w:r>
    </w:p>
    <w:p>
      <w:pPr>
        <w:ind w:left="615"/>
      </w:pPr>
      <w:r>
        <w:t xml:space="preserve">4.质保期内，甲方要求乙方现场处理相应的应急故障问题时，乙方不得拒绝。 </w:t>
      </w:r>
    </w:p>
    <w:p>
      <w:pPr>
        <w:spacing w:line="383" w:lineRule="auto"/>
        <w:ind w:left="172" w:firstLine="418"/>
      </w:pPr>
      <w:r>
        <w:t xml:space="preserve">5.甲方保留在项目的关键点对项目进行质量检查的权利。乙方应协助甲方完成质量检查，并提供甲方需要的材料和信息。 </w:t>
      </w:r>
    </w:p>
    <w:p>
      <w:pPr>
        <w:spacing w:line="387" w:lineRule="auto"/>
        <w:ind w:left="172" w:right="159" w:firstLine="418"/>
      </w:pPr>
      <w:r>
        <w:t xml:space="preserve">6.如因甲方现场设备或系统不具备条件等原因，导致数据无法接入，不得影响项目验收。 </w:t>
      </w:r>
    </w:p>
    <w:p>
      <w:pPr>
        <w:spacing w:line="387" w:lineRule="auto"/>
        <w:ind w:left="172" w:right="159" w:firstLine="418"/>
      </w:pPr>
      <w:r>
        <w:t xml:space="preserve">六、双方义务 </w:t>
      </w:r>
    </w:p>
    <w:p>
      <w:pPr>
        <w:spacing w:line="387" w:lineRule="auto"/>
        <w:ind w:left="172" w:right="159" w:firstLine="418"/>
      </w:pPr>
      <w:r>
        <w:t xml:space="preserve">甲方义务： </w:t>
      </w:r>
    </w:p>
    <w:p>
      <w:pPr>
        <w:ind w:left="615"/>
      </w:pPr>
      <w:r>
        <w:t xml:space="preserve">1.在乙方协助下负责网络通讯条件，远程系统调试通道接入准备。 </w:t>
      </w:r>
    </w:p>
    <w:p>
      <w:pPr>
        <w:ind w:left="615"/>
      </w:pPr>
      <w:r>
        <w:t xml:space="preserve">2.负责及时配合乙方对软件进行测试和试运行，并及时将修改意见反馈给乙方。 </w:t>
      </w:r>
    </w:p>
    <w:p>
      <w:pPr>
        <w:spacing w:line="383" w:lineRule="auto"/>
        <w:ind w:left="172" w:firstLine="418"/>
      </w:pPr>
      <w:r>
        <w:t xml:space="preserve">3.负责协调在开发、测试、试运行阶段与用户以及其他系统之间各种关系，包含必要的接口技术文档的提供。 </w:t>
      </w:r>
    </w:p>
    <w:p>
      <w:pPr>
        <w:spacing w:line="383" w:lineRule="auto"/>
        <w:ind w:left="663" w:right="3903" w:hanging="58"/>
        <w:rPr>
          <w:rFonts w:eastAsiaTheme="minorEastAsia"/>
        </w:rPr>
      </w:pPr>
      <w:r>
        <w:t>4.按合同约定向乙方支付合同款项。</w:t>
      </w:r>
    </w:p>
    <w:p>
      <w:pPr>
        <w:spacing w:line="383" w:lineRule="auto"/>
        <w:ind w:left="663" w:right="3903" w:hanging="58"/>
      </w:pPr>
      <w:r>
        <w:t xml:space="preserve"> 乙方义务： </w:t>
      </w:r>
    </w:p>
    <w:p>
      <w:pPr>
        <w:spacing w:line="383" w:lineRule="auto"/>
        <w:ind w:left="172" w:firstLine="418"/>
      </w:pPr>
      <w:r>
        <w:t xml:space="preserve">1.委派合格的技术人员组成项目定制开发小组，进行系统定制化程序开发，自行解决开发所需所用设备、机器以及所有相关软件。 </w:t>
      </w:r>
    </w:p>
    <w:p>
      <w:pPr>
        <w:spacing w:line="383" w:lineRule="auto"/>
        <w:ind w:left="172" w:firstLine="418"/>
      </w:pPr>
      <w:r>
        <w:t xml:space="preserve">2.在规定时间内，按照合同、招标文件及甲方要求完成系统开发工作，并保证工作质量。 </w:t>
      </w:r>
    </w:p>
    <w:p>
      <w:pPr>
        <w:ind w:left="615"/>
      </w:pPr>
      <w:r>
        <w:t xml:space="preserve">3.参加甲方组织的项目验收工作，并对甲方提出的问题予以解决。 </w:t>
      </w:r>
    </w:p>
    <w:p>
      <w:pPr>
        <w:ind w:left="615"/>
      </w:pPr>
      <w:r>
        <w:t xml:space="preserve">4.为甲方提供售后服务，保证甲方系统的正常运行。 </w:t>
      </w:r>
    </w:p>
    <w:p>
      <w:pPr>
        <w:ind w:left="615"/>
      </w:pPr>
      <w:r>
        <w:t xml:space="preserve">5.项目开发完成验收后，乙方应为甲方技术人员、操作人员进行培训。 </w:t>
      </w:r>
    </w:p>
    <w:p>
      <w:pPr>
        <w:spacing w:line="395" w:lineRule="auto"/>
        <w:ind w:left="172" w:firstLine="418"/>
      </w:pPr>
      <w:r>
        <w:t xml:space="preserve">6.如系统上线前甲方不能提供相应的系统资料导致数据无法接入，乙方需待甲方提供相应资料后，负责将数据接入，不得以任何理由拒绝，也不得要求增加费用。 </w:t>
      </w:r>
    </w:p>
    <w:p>
      <w:pPr>
        <w:ind w:left="673"/>
      </w:pPr>
      <w:r>
        <w:t xml:space="preserve">七、保密 </w:t>
      </w:r>
    </w:p>
    <w:p>
      <w:pPr>
        <w:spacing w:after="197" w:line="377" w:lineRule="auto"/>
        <w:ind w:left="172" w:right="0" w:firstLine="418"/>
        <w:jc w:val="both"/>
      </w:pPr>
      <w:r>
        <w:t xml:space="preserve">1.乙方为甲方提供服务的过程中涉及的技术资料、信息、专有技术等知识产权，甲方应采取保密措施，予以保密，不得向外提供。（甲方今后进一步开发新的升级系统，为新旧系统衔接所需向甲方委托软件开发商提供除外），如违反本规定，致使乙方遭受损失，甲方应负法律责任，并赔偿乙方因此遭受的损失。 </w:t>
      </w:r>
    </w:p>
    <w:p>
      <w:pPr>
        <w:spacing w:line="387" w:lineRule="auto"/>
        <w:ind w:left="172" w:firstLine="418"/>
      </w:pPr>
      <w:r>
        <w:t xml:space="preserve">2.在服务过程中，乙方应采取保密措施不得转让、泄漏甲方的资料及各类信息，也不得将此类信息擅自挪作他用；项目开展过程中及系统建成后，乙方不得向合同以外的第三方泄露关于甲方系统建设内容。如违反本规定致使甲方遭受损失，乙方应负法律责任，并赔偿甲方因此遭受的损失。 </w:t>
      </w:r>
    </w:p>
    <w:p>
      <w:pPr>
        <w:spacing w:line="383" w:lineRule="auto"/>
        <w:ind w:left="663" w:right="789" w:hanging="58"/>
        <w:rPr>
          <w:rFonts w:eastAsiaTheme="minorEastAsia"/>
        </w:rPr>
      </w:pPr>
      <w:r>
        <w:t>3.本合同的保密条款对双方长期有效，且不受合同终止的制约。</w:t>
      </w:r>
    </w:p>
    <w:p>
      <w:pPr>
        <w:spacing w:line="383" w:lineRule="auto"/>
        <w:ind w:left="663" w:right="789" w:hanging="58"/>
      </w:pPr>
      <w:r>
        <w:t xml:space="preserve"> 八、知识产权 </w:t>
      </w:r>
    </w:p>
    <w:p>
      <w:pPr>
        <w:spacing w:line="383" w:lineRule="auto"/>
        <w:ind w:left="172" w:firstLine="418"/>
      </w:pPr>
      <w:r>
        <w:t xml:space="preserve">1.乙方须保证所提供的软件均为正版，甲方不应为此受到损害，如甲方由此而造成损失由乙方全部承担。 </w:t>
      </w:r>
    </w:p>
    <w:p>
      <w:pPr>
        <w:spacing w:line="395" w:lineRule="auto"/>
        <w:ind w:left="172" w:firstLine="476"/>
      </w:pPr>
      <w:r>
        <w:t xml:space="preserve">2.未经对方书面同意，甲方、乙方均不得将获取的对方企业的商业、技术秘密透露给第三方，否则由此引起的一切法律责任及损失均由违约方承担。 </w:t>
      </w:r>
    </w:p>
    <w:p>
      <w:pPr>
        <w:ind w:left="673"/>
      </w:pPr>
      <w:r>
        <w:t xml:space="preserve">九、违约责任 </w:t>
      </w:r>
    </w:p>
    <w:p>
      <w:pPr>
        <w:spacing w:line="383" w:lineRule="auto"/>
        <w:ind w:left="172" w:firstLine="418"/>
      </w:pPr>
      <w:r>
        <w:t xml:space="preserve">1.甲方未按照合同约定时间付款的，乙方有权催告，经催告后15日仍未支付的，每逾期1日，应向乙方支付未付款部分价款的1%为违约金，最高不超过未付价款的30%。 </w:t>
      </w:r>
    </w:p>
    <w:p>
      <w:pPr>
        <w:spacing w:line="389" w:lineRule="auto"/>
        <w:ind w:left="172" w:firstLine="418"/>
      </w:pPr>
      <w:r>
        <w:t xml:space="preserve">2、乙方未在约定时间内完成各项工作任务的，每逾期1日，应向甲方支付合同暂定总价的1%为违约金，最高不超过合同暂定总价的10%。逾期超过10日未完成的，甲方有权解除合同，履约保证金不予退还。因逾期造成甲方损失的，由乙方承担全部责任。 </w:t>
      </w:r>
    </w:p>
    <w:p>
      <w:pPr>
        <w:spacing w:line="391" w:lineRule="auto"/>
        <w:ind w:left="172" w:firstLine="418"/>
      </w:pPr>
      <w:r>
        <w:t xml:space="preserve">3、乙方开发的系统不满足招标文件、合同要求的，乙方应在指定时间内进行更正、完善，由此导致的工期延误按照本条第2款执行。经完善后仍不满足要求、无法通过项目验收的，甲方有权解除合同，履约保证金不予退还，甲方无需支付任何费用，已经支付的费用乙方应在10日内退还。 </w:t>
      </w:r>
    </w:p>
    <w:p>
      <w:pPr>
        <w:spacing w:line="389" w:lineRule="auto"/>
        <w:ind w:left="172" w:firstLine="418"/>
      </w:pPr>
      <w:r>
        <w:t xml:space="preserve">4、质保期内乙方不按照招标文件、合同要求履约的，每出现一次，扣除10%质保金。紧急情况下乙方不响应服务要求的，甲方有权选择其他单位开展服务，由此支出的费用从质保金中扣除，不足部分由乙方补足。 </w:t>
      </w:r>
    </w:p>
    <w:p>
      <w:pPr>
        <w:spacing w:after="197" w:line="377" w:lineRule="auto"/>
        <w:ind w:left="172" w:right="0" w:firstLine="418"/>
        <w:jc w:val="both"/>
      </w:pPr>
      <w:r>
        <w:t xml:space="preserve">5、合同履行过程中任何一方无正当理由单方面解除合同的，应向对方支付合同暂定总价20%的违约金。需提前向甲方提出书面申请，乙方必须在甲方系统替代工作完成后，经甲方同意，方可终止服务，否则承担由此给甲方造成的全部损失。 </w:t>
      </w:r>
    </w:p>
    <w:p>
      <w:pPr>
        <w:spacing w:line="390" w:lineRule="auto"/>
        <w:ind w:left="172" w:firstLine="476"/>
      </w:pPr>
      <w:r>
        <w:t xml:space="preserve">十、不可抗力 甲乙双方任何一方由于不可抗力（如战争、火灾、洪水、台风、地震、自然灾害等）原因不能履行合同时，应当及时将不能履行或不能完全履行的理由以书面形式通知对方，以减轻可能给对方造成的损失。在取得有关机构证明后，允许延期履行、部分履行或不履行合同，并根据情况可部分或全部免予承担违约责任。如果不可抗力状态持续并超过150 天，双方应友好协商，对本合同是否继续执行达成一致。 </w:t>
      </w:r>
    </w:p>
    <w:p>
      <w:pPr>
        <w:spacing w:line="395" w:lineRule="auto"/>
        <w:ind w:left="673"/>
        <w:rPr>
          <w:rFonts w:eastAsiaTheme="minorEastAsia"/>
        </w:rPr>
      </w:pPr>
      <w:r>
        <w:t xml:space="preserve">十一、通知 除合同另有约定外，一方为履行合同之目的向对方发送的通知均应采取当面送交、传真或挂号信方式，如果一方联系方式发生变更，应及时通知对方。 </w:t>
      </w:r>
    </w:p>
    <w:p>
      <w:pPr>
        <w:spacing w:line="395" w:lineRule="auto"/>
        <w:ind w:left="673"/>
      </w:pPr>
      <w:r>
        <w:t xml:space="preserve">十二、争议解决方式 </w:t>
      </w:r>
    </w:p>
    <w:p>
      <w:pPr>
        <w:spacing w:line="391" w:lineRule="auto"/>
        <w:ind w:left="172" w:firstLine="476"/>
      </w:pPr>
      <w:r>
        <w:t xml:space="preserve">如双方因本合同或履行本合同发生争议，应协商解决，协商不成，依法向甲方所在地有管辖权的人民法院起诉解决。除争议事项所涉及的条款外，双方应继续履行合同项下其它条款约定的义务，但该义务的履行需以争议的解决为前提的情形除外。 </w:t>
      </w:r>
    </w:p>
    <w:p>
      <w:pPr>
        <w:spacing w:line="391" w:lineRule="auto"/>
        <w:ind w:left="172" w:firstLine="476"/>
      </w:pPr>
      <w:r>
        <w:t xml:space="preserve">十三、合同的生效、终止和其它 </w:t>
      </w:r>
    </w:p>
    <w:p>
      <w:pPr>
        <w:spacing w:line="240" w:lineRule="auto"/>
        <w:ind w:left="172" w:firstLine="476"/>
      </w:pPr>
      <w:r>
        <w:t xml:space="preserve">1.本合同自甲乙双方授权代表或法人代表签字、盖章之日起生效，至双方履行完本合同约定的权利、义务后终止。 </w:t>
      </w:r>
    </w:p>
    <w:p>
      <w:pPr>
        <w:spacing w:after="212" w:line="240" w:lineRule="auto"/>
        <w:ind w:left="720" w:leftChars="200" w:right="1106" w:rightChars="461" w:hanging="240" w:hangingChars="100"/>
      </w:pPr>
      <w:r>
        <w:t xml:space="preserve">    2.本合同一式伍份，甲乙双方各执贰份，</w:t>
      </w:r>
      <w:r>
        <w:rPr>
          <w:u w:val="single" w:color="000000"/>
        </w:rPr>
        <w:t xml:space="preserve">                 </w:t>
      </w:r>
      <w:r>
        <w:t xml:space="preserve">留存壹 份，具有同等法律效力，本合同所属附件作为本合同组成部分，同样具有法律效力。 </w:t>
      </w:r>
    </w:p>
    <w:p>
      <w:pPr>
        <w:spacing w:after="212" w:line="240" w:lineRule="auto"/>
        <w:ind w:left="490" w:leftChars="200" w:right="1106" w:rightChars="461"/>
      </w:pPr>
      <w:r>
        <w:t xml:space="preserve">3.本合同未尽事宜可由双方另行协商解决。甲乙方后续补充的其他协议经双方确认后，与本合同具有同等法律效力。 </w:t>
      </w:r>
    </w:p>
    <w:p>
      <w:pPr>
        <w:spacing w:after="211" w:line="240" w:lineRule="auto"/>
        <w:ind w:left="10"/>
        <w:jc w:val="center"/>
      </w:pPr>
      <w:r>
        <w:t xml:space="preserve">4.本合同的修改应以双方授权代表或法人代表签署并加盖公章的书面文件为准。 </w:t>
      </w:r>
    </w:p>
    <w:p>
      <w:pPr>
        <w:spacing w:after="687" w:line="377" w:lineRule="auto"/>
        <w:ind w:left="172" w:right="132" w:firstLine="466"/>
        <w:jc w:val="both"/>
      </w:pPr>
      <w:r>
        <w:t>5.</w:t>
      </w:r>
      <w:r>
        <w:rPr>
          <w:u w:val="single" w:color="000000"/>
        </w:rPr>
        <w:t xml:space="preserve">                   </w:t>
      </w:r>
      <w:r>
        <w:t>公司关于</w:t>
      </w:r>
      <w:r>
        <w:rPr>
          <w:rFonts w:hint="eastAsia" w:eastAsiaTheme="minorEastAsia"/>
          <w:u w:val="single" w:color="000000"/>
        </w:rPr>
        <w:t>长丰供水</w:t>
      </w:r>
      <w:r>
        <w:rPr>
          <w:u w:val="single" w:color="000000"/>
        </w:rPr>
        <w:t>集团</w:t>
      </w:r>
      <w:r>
        <w:rPr>
          <w:rFonts w:hint="eastAsia" w:eastAsiaTheme="minorEastAsia"/>
          <w:u w:val="single" w:color="000000"/>
        </w:rPr>
        <w:t>W</w:t>
      </w:r>
      <w:r>
        <w:rPr>
          <w:rFonts w:eastAsiaTheme="minorEastAsia"/>
          <w:u w:val="single" w:color="000000"/>
        </w:rPr>
        <w:t>MS</w:t>
      </w:r>
      <w:r>
        <w:rPr>
          <w:u w:val="single" w:color="000000"/>
        </w:rPr>
        <w:t>智能仓储管理系统建设</w:t>
      </w:r>
      <w:r>
        <w:t xml:space="preserve">项目的招标文件及有关附件是本合同不可分割的组成部分，与本合同具有同等法律效力，这些文件包括但不限于：①招标文件；②乙方提供的响应文件；③服务承诺；④ 甲乙双方商定的其他文件。以上附件顺序在前的具有优先解释权。 </w:t>
      </w:r>
    </w:p>
    <w:p>
      <w:pPr>
        <w:ind w:left="10"/>
      </w:pPr>
      <w:r>
        <w:t>甲方（签章）：</w:t>
      </w:r>
      <w:r>
        <w:rPr>
          <w:rFonts w:hint="eastAsia" w:eastAsiaTheme="minorEastAsia"/>
        </w:rPr>
        <w:t xml:space="preserve"> </w:t>
      </w:r>
      <w:r>
        <w:rPr>
          <w:rFonts w:eastAsiaTheme="minorEastAsia"/>
        </w:rPr>
        <w:t xml:space="preserve">                                            </w:t>
      </w:r>
      <w:r>
        <w:t xml:space="preserve">                乙方（签章）：  </w:t>
      </w:r>
    </w:p>
    <w:p>
      <w:pPr>
        <w:spacing w:line="383" w:lineRule="auto"/>
        <w:ind w:left="10" w:right="1451"/>
      </w:pPr>
      <w:r>
        <w:t>地址：</w:t>
      </w:r>
      <w:r>
        <w:rPr>
          <w:rFonts w:hint="eastAsia" w:eastAsiaTheme="minorEastAsia"/>
        </w:rPr>
        <w:t xml:space="preserve"> </w:t>
      </w:r>
      <w:r>
        <w:rPr>
          <w:rFonts w:eastAsiaTheme="minorEastAsia"/>
        </w:rPr>
        <w:t xml:space="preserve">                                                             </w:t>
      </w:r>
      <w:r>
        <w:t xml:space="preserve">               地址：  </w:t>
      </w:r>
    </w:p>
    <w:p>
      <w:pPr>
        <w:spacing w:line="383" w:lineRule="auto"/>
        <w:ind w:left="10" w:right="1451"/>
        <w:rPr>
          <w:rFonts w:eastAsiaTheme="minorEastAsia"/>
        </w:rPr>
      </w:pPr>
      <w:r>
        <w:t>法定代表人：                                                                法定代表人：</w:t>
      </w:r>
    </w:p>
    <w:p>
      <w:pPr>
        <w:spacing w:line="383" w:lineRule="auto"/>
        <w:ind w:left="10" w:right="1451"/>
      </w:pPr>
      <w:r>
        <w:t xml:space="preserve"> 委托代表人：                                                                 委托代表人： </w:t>
      </w:r>
    </w:p>
    <w:p>
      <w:pPr>
        <w:spacing w:line="383" w:lineRule="auto"/>
        <w:ind w:left="10" w:right="1451"/>
        <w:rPr>
          <w:rFonts w:eastAsiaTheme="minorEastAsia"/>
        </w:rPr>
      </w:pPr>
      <w:r>
        <w:t xml:space="preserve">电话：                                                                                电话： </w:t>
      </w:r>
    </w:p>
    <w:p>
      <w:pPr>
        <w:spacing w:after="384" w:line="395" w:lineRule="auto"/>
      </w:pPr>
      <w:r>
        <w:t xml:space="preserve">备注：本合同的约定如与本项目招标文件的投标人须知前附表和招标需求的约定不一致的地方，以投标人须知前附表和招标需求的约定为准。 </w:t>
      </w:r>
    </w:p>
    <w:p>
      <w:pPr>
        <w:spacing w:after="407" w:line="240" w:lineRule="auto"/>
        <w:ind w:left="187" w:right="0" w:firstLine="0"/>
      </w:pPr>
      <w:r>
        <w:t xml:space="preserve"> </w:t>
      </w:r>
    </w:p>
    <w:p>
      <w:pPr>
        <w:spacing w:after="0" w:line="240" w:lineRule="auto"/>
        <w:ind w:left="187" w:right="0" w:firstLine="0"/>
      </w:pPr>
      <w:r>
        <w:t xml:space="preserve"> </w:t>
      </w:r>
      <w:r>
        <w:br w:type="page"/>
      </w:r>
    </w:p>
    <w:p>
      <w:pPr>
        <w:spacing w:after="60"/>
      </w:pPr>
      <w:r>
        <w:t xml:space="preserve">合同附件： </w:t>
      </w:r>
    </w:p>
    <w:p>
      <w:pPr>
        <w:spacing w:after="46"/>
        <w:ind w:left="10"/>
        <w:jc w:val="center"/>
      </w:pPr>
      <w:r>
        <w:t xml:space="preserve">承  诺  书 </w:t>
      </w:r>
    </w:p>
    <w:p>
      <w:pPr>
        <w:spacing w:after="219" w:line="240" w:lineRule="auto"/>
        <w:ind w:left="187" w:right="0" w:firstLine="0"/>
      </w:pPr>
      <w:r>
        <w:t xml:space="preserve"> </w:t>
      </w:r>
    </w:p>
    <w:p>
      <w:pPr>
        <w:spacing w:line="389" w:lineRule="auto"/>
        <w:ind w:left="172" w:firstLine="476"/>
      </w:pPr>
      <w:r>
        <w:t xml:space="preserve">为维护招投标工作的严肃性，甲乙双方郑重声明并承诺如下： 一、双方已明确知晓《中华人民共和国招标投标法》《中华人民共和国招标投标法实施条例》及本项目招标公告和招标文件关于签订书面合同的相关规定： </w:t>
      </w:r>
    </w:p>
    <w:p>
      <w:pPr>
        <w:spacing w:line="389" w:lineRule="auto"/>
        <w:ind w:left="172" w:firstLine="476"/>
      </w:pPr>
      <w:r>
        <w:t xml:space="preserve">（一）《中华人民共和国招标投标法》第四十六条：招标人和中标人应当自中标通知书发出之日起三十日内，按照招标文件和中标人的响应文件订立书面合同。招标人和中标人不得再行订立背离合同实质性内容的其他协议。 </w:t>
      </w:r>
    </w:p>
    <w:p>
      <w:pPr>
        <w:spacing w:line="387" w:lineRule="auto"/>
        <w:ind w:left="172" w:firstLine="476"/>
      </w:pPr>
      <w:r>
        <w:t xml:space="preserve">（二）《中华人民共和国招标投标法实施条例》第五十七条：招标人和中标人应当依照招标投标法和本条例的规定签订书面合同，合同的标的、价款、质量、履行期限等主要条款应当与招标文件和中标人的响应文件的内容一致。招标人和中标人不得再行订立背离合同实质性内容的其他协议。 </w:t>
      </w:r>
    </w:p>
    <w:p>
      <w:pPr>
        <w:spacing w:line="389" w:lineRule="auto"/>
        <w:ind w:left="172" w:right="147" w:firstLine="476"/>
      </w:pPr>
      <w:r>
        <w:t>（三）本项目招标公告和招标文件关于签订书面合同的相关约定（详见本项目招标公告和招标文件）。 二、双方承诺严格按照上述规定签订</w:t>
      </w:r>
      <w:r>
        <w:rPr>
          <w:u w:val="single" w:color="000000"/>
        </w:rPr>
        <w:t xml:space="preserve">  长丰供水集团</w:t>
      </w:r>
      <w:r>
        <w:rPr>
          <w:rFonts w:hint="eastAsia" w:eastAsiaTheme="minorEastAsia"/>
          <w:u w:val="single" w:color="000000"/>
        </w:rPr>
        <w:t>W</w:t>
      </w:r>
      <w:r>
        <w:rPr>
          <w:rFonts w:eastAsiaTheme="minorEastAsia"/>
          <w:u w:val="single" w:color="000000"/>
        </w:rPr>
        <w:t>MS</w:t>
      </w:r>
      <w:r>
        <w:rPr>
          <w:u w:val="single" w:color="000000"/>
        </w:rPr>
        <w:t xml:space="preserve">智能仓储管理系统建设  </w:t>
      </w:r>
      <w:r>
        <w:t>的书面</w:t>
      </w:r>
    </w:p>
    <w:p>
      <w:r>
        <w:t xml:space="preserve">合同。如有违反，自行承担一切法律责任和后果。 </w:t>
      </w:r>
    </w:p>
    <w:p>
      <w:pPr>
        <w:spacing w:line="240" w:lineRule="auto"/>
        <w:ind w:left="663" w:right="0" w:firstLine="0"/>
      </w:pPr>
      <w:r>
        <w:t xml:space="preserve"> </w:t>
      </w:r>
    </w:p>
    <w:p>
      <w:pPr>
        <w:spacing w:after="218" w:line="240" w:lineRule="auto"/>
        <w:ind w:left="663" w:right="0" w:firstLine="0"/>
      </w:pPr>
      <w:r>
        <w:t xml:space="preserve"> </w:t>
      </w:r>
    </w:p>
    <w:p>
      <w:pPr>
        <w:spacing w:line="383" w:lineRule="auto"/>
        <w:ind w:left="172" w:right="3067" w:firstLine="476"/>
      </w:pPr>
      <w:r>
        <w:t xml:space="preserve"> 甲方：  (公章)                         乙方：  (公章) </w:t>
      </w:r>
    </w:p>
    <w:p>
      <w:pPr>
        <w:spacing w:after="205" w:line="240" w:lineRule="auto"/>
        <w:ind w:left="187" w:right="0" w:firstLine="0"/>
      </w:pPr>
      <w:r>
        <w:t xml:space="preserve"> </w:t>
      </w:r>
    </w:p>
    <w:p>
      <w:r>
        <w:t xml:space="preserve">法定代表人或其委托代理人：            法定代表人或其委托代理人： </w:t>
      </w:r>
    </w:p>
    <w:p>
      <w:r>
        <w:t xml:space="preserve">（签字）                                （签字） </w:t>
      </w:r>
    </w:p>
    <w:p>
      <w:pPr>
        <w:spacing w:after="149" w:line="240" w:lineRule="auto"/>
        <w:ind w:left="187" w:right="0" w:firstLine="0"/>
      </w:pPr>
      <w:r>
        <w:rPr>
          <w:rFonts w:ascii="Times New Roman" w:hAnsi="Times New Roman" w:eastAsia="Times New Roman" w:cs="Times New Roman"/>
          <w:sz w:val="22"/>
        </w:rPr>
        <w:t xml:space="preserve"> </w:t>
      </w:r>
    </w:p>
    <w:p>
      <w:pPr>
        <w:spacing w:after="0"/>
      </w:pPr>
      <w:r>
        <w:t xml:space="preserve">时间：   年   月                      时间：   年   月      </w:t>
      </w:r>
    </w:p>
    <w:p>
      <w:pPr>
        <w:pStyle w:val="2"/>
      </w:pPr>
      <w:bookmarkStart w:id="11" w:name="_Toc87528833"/>
      <w:r>
        <w:t>第七章 响应文件格式</w:t>
      </w:r>
      <w:bookmarkEnd w:id="11"/>
      <w:r>
        <w:t xml:space="preserve"> </w:t>
      </w:r>
    </w:p>
    <w:p>
      <w:pPr>
        <w:spacing w:after="211"/>
        <w:ind w:left="10"/>
        <w:jc w:val="center"/>
      </w:pPr>
      <w:r>
        <w:t xml:space="preserve">响应文件资料清单 </w:t>
      </w:r>
    </w:p>
    <w:tbl>
      <w:tblPr>
        <w:tblStyle w:val="11"/>
        <w:tblW w:w="9313" w:type="dxa"/>
        <w:tblInd w:w="65" w:type="dxa"/>
        <w:tblLayout w:type="autofit"/>
        <w:tblCellMar>
          <w:top w:w="56" w:type="dxa"/>
          <w:left w:w="108" w:type="dxa"/>
          <w:bottom w:w="0" w:type="dxa"/>
          <w:right w:w="115" w:type="dxa"/>
        </w:tblCellMar>
      </w:tblPr>
      <w:tblGrid>
        <w:gridCol w:w="1168"/>
        <w:gridCol w:w="5507"/>
        <w:gridCol w:w="2638"/>
      </w:tblGrid>
      <w:tr>
        <w:tblPrEx>
          <w:tblCellMar>
            <w:top w:w="56" w:type="dxa"/>
            <w:left w:w="108" w:type="dxa"/>
            <w:bottom w:w="0" w:type="dxa"/>
            <w:right w:w="115" w:type="dxa"/>
          </w:tblCellMar>
        </w:tblPrEx>
        <w:trPr>
          <w:trHeight w:val="577"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231" w:right="0" w:firstLine="0"/>
            </w:pPr>
            <w:r>
              <w:t xml:space="preserve">序号 </w:t>
            </w: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资料名称 </w:t>
            </w:r>
          </w:p>
        </w:tc>
        <w:tc>
          <w:tcPr>
            <w:tcW w:w="263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备注 </w:t>
            </w:r>
          </w:p>
        </w:tc>
      </w:tr>
      <w:tr>
        <w:tblPrEx>
          <w:tblCellMar>
            <w:top w:w="56" w:type="dxa"/>
            <w:left w:w="108" w:type="dxa"/>
            <w:bottom w:w="0" w:type="dxa"/>
            <w:right w:w="115" w:type="dxa"/>
          </w:tblCellMar>
        </w:tblPrEx>
        <w:trPr>
          <w:trHeight w:val="576"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asciiTheme="minorEastAsia" w:hAnsiTheme="minorEastAsia" w:eastAsiaTheme="minorEastAsia"/>
              </w:rPr>
              <w:t xml:space="preserve">报价表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56" w:type="dxa"/>
            <w:left w:w="108" w:type="dxa"/>
            <w:bottom w:w="0" w:type="dxa"/>
            <w:right w:w="115" w:type="dxa"/>
          </w:tblCellMar>
        </w:tblPrEx>
        <w:trPr>
          <w:trHeight w:val="576"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hint="eastAsia" w:cs="微软雅黑" w:asciiTheme="minorEastAsia" w:hAnsiTheme="minorEastAsia" w:eastAsiaTheme="minorEastAsia"/>
              </w:rPr>
              <w:t>投</w:t>
            </w:r>
            <w:r>
              <w:rPr>
                <w:rFonts w:asciiTheme="minorEastAsia" w:hAnsiTheme="minorEastAsia" w:eastAsiaTheme="minorEastAsia"/>
              </w:rPr>
              <w:t xml:space="preserve">标人情况综合简介 </w:t>
            </w:r>
          </w:p>
        </w:tc>
        <w:tc>
          <w:tcPr>
            <w:tcW w:w="263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 </w:t>
            </w:r>
          </w:p>
        </w:tc>
      </w:tr>
      <w:tr>
        <w:tblPrEx>
          <w:tblCellMar>
            <w:top w:w="56" w:type="dxa"/>
            <w:left w:w="108" w:type="dxa"/>
            <w:bottom w:w="0" w:type="dxa"/>
            <w:right w:w="115" w:type="dxa"/>
          </w:tblCellMar>
        </w:tblPrEx>
        <w:trPr>
          <w:trHeight w:val="577"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hint="eastAsia" w:cs="微软雅黑" w:asciiTheme="minorEastAsia" w:hAnsiTheme="minorEastAsia" w:eastAsiaTheme="minorEastAsia"/>
              </w:rPr>
              <w:t>投</w:t>
            </w:r>
            <w:r>
              <w:rPr>
                <w:rFonts w:asciiTheme="minorEastAsia" w:hAnsiTheme="minorEastAsia" w:eastAsiaTheme="minorEastAsia"/>
              </w:rPr>
              <w:t xml:space="preserve">标函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56" w:type="dxa"/>
            <w:left w:w="108" w:type="dxa"/>
            <w:bottom w:w="0" w:type="dxa"/>
            <w:right w:w="115" w:type="dxa"/>
          </w:tblCellMar>
        </w:tblPrEx>
        <w:trPr>
          <w:trHeight w:val="576"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hint="eastAsia" w:cs="微软雅黑" w:asciiTheme="minorEastAsia" w:hAnsiTheme="minorEastAsia" w:eastAsiaTheme="minorEastAsia"/>
              </w:rPr>
              <w:t>投</w:t>
            </w:r>
            <w:r>
              <w:rPr>
                <w:rFonts w:asciiTheme="minorEastAsia" w:hAnsiTheme="minorEastAsia" w:eastAsiaTheme="minorEastAsia"/>
              </w:rPr>
              <w:t xml:space="preserve">标人信用承诺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56" w:type="dxa"/>
            <w:left w:w="108" w:type="dxa"/>
            <w:bottom w:w="0" w:type="dxa"/>
            <w:right w:w="115" w:type="dxa"/>
          </w:tblCellMar>
        </w:tblPrEx>
        <w:trPr>
          <w:trHeight w:val="577"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hint="eastAsia" w:cs="微软雅黑" w:asciiTheme="minorEastAsia" w:hAnsiTheme="minorEastAsia" w:eastAsiaTheme="minorEastAsia"/>
              </w:rPr>
              <w:t>投</w:t>
            </w:r>
            <w:r>
              <w:rPr>
                <w:rFonts w:asciiTheme="minorEastAsia" w:hAnsiTheme="minorEastAsia" w:eastAsiaTheme="minorEastAsia"/>
              </w:rPr>
              <w:t xml:space="preserve">标业绩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56" w:type="dxa"/>
            <w:left w:w="108" w:type="dxa"/>
            <w:bottom w:w="0" w:type="dxa"/>
            <w:right w:w="115" w:type="dxa"/>
          </w:tblCellMar>
        </w:tblPrEx>
        <w:trPr>
          <w:trHeight w:val="605"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hint="eastAsia" w:cs="微软雅黑" w:asciiTheme="minorEastAsia" w:hAnsiTheme="minorEastAsia" w:eastAsiaTheme="minorEastAsia"/>
              </w:rPr>
              <w:t>拟</w:t>
            </w:r>
            <w:r>
              <w:rPr>
                <w:rFonts w:asciiTheme="minorEastAsia" w:hAnsiTheme="minorEastAsia" w:eastAsiaTheme="minorEastAsia"/>
              </w:rPr>
              <w:t xml:space="preserve">投入本项目的人员情况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56" w:type="dxa"/>
            <w:left w:w="108" w:type="dxa"/>
            <w:bottom w:w="0" w:type="dxa"/>
            <w:right w:w="115" w:type="dxa"/>
          </w:tblCellMar>
        </w:tblPrEx>
        <w:trPr>
          <w:trHeight w:val="562"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hint="eastAsia" w:cs="微软雅黑" w:asciiTheme="minorEastAsia" w:hAnsiTheme="minorEastAsia" w:eastAsiaTheme="minorEastAsia"/>
              </w:rPr>
              <w:t>服</w:t>
            </w:r>
            <w:r>
              <w:rPr>
                <w:rFonts w:asciiTheme="minorEastAsia" w:hAnsiTheme="minorEastAsia" w:eastAsiaTheme="minorEastAsia"/>
              </w:rPr>
              <w:t xml:space="preserve">务方案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56" w:type="dxa"/>
            <w:left w:w="108" w:type="dxa"/>
            <w:bottom w:w="0" w:type="dxa"/>
            <w:right w:w="115" w:type="dxa"/>
          </w:tblCellMar>
        </w:tblPrEx>
        <w:trPr>
          <w:trHeight w:val="605"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hint="eastAsia" w:cs="微软雅黑" w:asciiTheme="minorEastAsia" w:hAnsiTheme="minorEastAsia" w:eastAsiaTheme="minorEastAsia"/>
              </w:rPr>
              <w:t>有</w:t>
            </w:r>
            <w:r>
              <w:rPr>
                <w:rFonts w:asciiTheme="minorEastAsia" w:hAnsiTheme="minorEastAsia" w:eastAsiaTheme="minorEastAsia"/>
              </w:rPr>
              <w:t xml:space="preserve">关证明文件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56" w:type="dxa"/>
            <w:left w:w="108" w:type="dxa"/>
            <w:bottom w:w="0" w:type="dxa"/>
            <w:right w:w="115" w:type="dxa"/>
          </w:tblCellMar>
        </w:tblPrEx>
        <w:trPr>
          <w:trHeight w:val="605"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hint="eastAsia" w:cs="微软雅黑" w:asciiTheme="minorEastAsia" w:hAnsiTheme="minorEastAsia" w:eastAsiaTheme="minorEastAsia"/>
              </w:rPr>
              <w:t>投</w:t>
            </w:r>
            <w:r>
              <w:rPr>
                <w:rFonts w:asciiTheme="minorEastAsia" w:hAnsiTheme="minorEastAsia" w:eastAsiaTheme="minorEastAsia"/>
              </w:rPr>
              <w:t xml:space="preserve">标授权书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56" w:type="dxa"/>
            <w:left w:w="108" w:type="dxa"/>
            <w:bottom w:w="0" w:type="dxa"/>
            <w:right w:w="115" w:type="dxa"/>
          </w:tblCellMar>
        </w:tblPrEx>
        <w:trPr>
          <w:trHeight w:val="533"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hint="eastAsia" w:cs="微软雅黑" w:asciiTheme="minorEastAsia" w:hAnsiTheme="minorEastAsia" w:eastAsiaTheme="minorEastAsia"/>
              </w:rPr>
              <w:t>投</w:t>
            </w:r>
            <w:r>
              <w:rPr>
                <w:rFonts w:asciiTheme="minorEastAsia" w:hAnsiTheme="minorEastAsia" w:eastAsiaTheme="minorEastAsia"/>
              </w:rPr>
              <w:t xml:space="preserve">标人认为需提供的其他资料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56" w:type="dxa"/>
            <w:left w:w="108" w:type="dxa"/>
            <w:bottom w:w="0" w:type="dxa"/>
            <w:right w:w="115" w:type="dxa"/>
          </w:tblCellMar>
        </w:tblPrEx>
        <w:trPr>
          <w:trHeight w:val="605"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asciiTheme="minorEastAsia" w:hAnsiTheme="minorEastAsia" w:eastAsiaTheme="minorEastAsia"/>
              </w:rPr>
              <w:t xml:space="preserve">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56" w:type="dxa"/>
            <w:left w:w="108" w:type="dxa"/>
            <w:bottom w:w="0" w:type="dxa"/>
            <w:right w:w="115" w:type="dxa"/>
          </w:tblCellMar>
        </w:tblPrEx>
        <w:trPr>
          <w:trHeight w:val="591"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asciiTheme="minorEastAsia" w:hAnsiTheme="minorEastAsia" w:eastAsiaTheme="minorEastAsia"/>
              </w:rPr>
              <w:t xml:space="preserve">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56" w:type="dxa"/>
            <w:left w:w="108" w:type="dxa"/>
            <w:bottom w:w="0" w:type="dxa"/>
            <w:right w:w="115" w:type="dxa"/>
          </w:tblCellMar>
        </w:tblPrEx>
        <w:trPr>
          <w:trHeight w:val="591"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asciiTheme="minorEastAsia" w:hAnsiTheme="minorEastAsia" w:eastAsiaTheme="minorEastAsia"/>
              </w:rPr>
              <w:t xml:space="preserve">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56" w:type="dxa"/>
            <w:left w:w="108" w:type="dxa"/>
            <w:bottom w:w="0" w:type="dxa"/>
            <w:right w:w="115" w:type="dxa"/>
          </w:tblCellMar>
        </w:tblPrEx>
        <w:trPr>
          <w:trHeight w:val="576"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asciiTheme="minorEastAsia" w:hAnsiTheme="minorEastAsia" w:eastAsiaTheme="minorEastAsia"/>
              </w:rPr>
              <w:t xml:space="preserve">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56" w:type="dxa"/>
            <w:left w:w="108" w:type="dxa"/>
            <w:bottom w:w="0" w:type="dxa"/>
            <w:right w:w="115" w:type="dxa"/>
          </w:tblCellMar>
        </w:tblPrEx>
        <w:trPr>
          <w:trHeight w:val="591"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asciiTheme="minorEastAsia" w:hAnsiTheme="minorEastAsia" w:eastAsiaTheme="minorEastAsia"/>
              </w:rPr>
              <w:t xml:space="preserve">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56" w:type="dxa"/>
            <w:left w:w="108" w:type="dxa"/>
            <w:bottom w:w="0" w:type="dxa"/>
            <w:right w:w="115" w:type="dxa"/>
          </w:tblCellMar>
        </w:tblPrEx>
        <w:trPr>
          <w:trHeight w:val="576" w:hRule="atLeast"/>
        </w:trPr>
        <w:tc>
          <w:tcPr>
            <w:tcW w:w="1168" w:type="dxa"/>
            <w:tcBorders>
              <w:top w:val="single" w:color="000000" w:sz="6" w:space="0"/>
              <w:left w:val="single" w:color="000000" w:sz="6" w:space="0"/>
              <w:bottom w:val="single" w:color="000000" w:sz="6" w:space="0"/>
              <w:right w:val="single" w:color="000000" w:sz="6" w:space="0"/>
            </w:tcBorders>
            <w:vAlign w:val="center"/>
          </w:tcPr>
          <w:p>
            <w:pPr>
              <w:pStyle w:val="12"/>
              <w:numPr>
                <w:ilvl w:val="0"/>
                <w:numId w:val="3"/>
              </w:numPr>
              <w:spacing w:after="0" w:line="276" w:lineRule="auto"/>
              <w:ind w:right="0" w:firstLineChars="0"/>
              <w:jc w:val="center"/>
              <w:rPr>
                <w:rFonts w:asciiTheme="minorEastAsia" w:hAnsiTheme="minorEastAsia" w:eastAsiaTheme="minorEastAsia"/>
              </w:rPr>
            </w:pPr>
          </w:p>
        </w:tc>
        <w:tc>
          <w:tcPr>
            <w:tcW w:w="550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 w:right="0" w:firstLine="0"/>
              <w:rPr>
                <w:rFonts w:asciiTheme="minorEastAsia" w:hAnsiTheme="minorEastAsia" w:eastAsiaTheme="minorEastAsia"/>
              </w:rPr>
            </w:pPr>
            <w:r>
              <w:rPr>
                <w:rFonts w:asciiTheme="minorEastAsia" w:hAnsiTheme="minorEastAsia" w:eastAsiaTheme="minorEastAsia"/>
              </w:rPr>
              <w:t xml:space="preserve"> </w:t>
            </w:r>
          </w:p>
        </w:tc>
        <w:tc>
          <w:tcPr>
            <w:tcW w:w="26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bl>
    <w:p>
      <w:pPr>
        <w:spacing w:after="0" w:line="395" w:lineRule="auto"/>
      </w:pPr>
      <w:r>
        <w:t>备注：响应文件制作软件中的响应文件组成中格式与本招标文件下述响应文件格式不一致的，以下述响应文件格式为准，并按下述格式编制响应文件。</w:t>
      </w:r>
      <w:r>
        <w:rPr>
          <w:rFonts w:ascii="Times New Roman" w:hAnsi="Times New Roman" w:eastAsia="Times New Roman" w:cs="Times New Roman"/>
          <w:sz w:val="22"/>
        </w:rPr>
        <w:t xml:space="preserve"> </w:t>
      </w:r>
    </w:p>
    <w:p>
      <w:pPr>
        <w:pStyle w:val="3"/>
      </w:pPr>
      <w:bookmarkStart w:id="12" w:name="_Toc87528834"/>
      <w:r>
        <w:t>一．报价表</w:t>
      </w:r>
      <w:bookmarkEnd w:id="12"/>
      <w:r>
        <w:t xml:space="preserve"> </w:t>
      </w:r>
    </w:p>
    <w:p>
      <w:pPr>
        <w:spacing w:after="211"/>
        <w:ind w:left="10"/>
        <w:jc w:val="center"/>
      </w:pPr>
      <w:r>
        <w:t xml:space="preserve">1-1 报价表 </w:t>
      </w:r>
    </w:p>
    <w:p>
      <w:pPr>
        <w:spacing w:after="212"/>
      </w:pPr>
      <w:r>
        <w:t>项目名称：</w:t>
      </w:r>
      <w:r>
        <w:rPr>
          <w:u w:val="single" w:color="000000"/>
        </w:rPr>
        <w:t xml:space="preserve">  长丰供水集团</w:t>
      </w:r>
      <w:r>
        <w:rPr>
          <w:rFonts w:hint="eastAsia" w:eastAsiaTheme="minorEastAsia"/>
          <w:u w:val="single" w:color="000000"/>
        </w:rPr>
        <w:t>W</w:t>
      </w:r>
      <w:r>
        <w:rPr>
          <w:rFonts w:eastAsiaTheme="minorEastAsia"/>
          <w:u w:val="single" w:color="000000"/>
        </w:rPr>
        <w:t>MS</w:t>
      </w:r>
      <w:r>
        <w:rPr>
          <w:u w:val="single" w:color="000000"/>
        </w:rPr>
        <w:t xml:space="preserve">智能仓储管理系统建设  </w:t>
      </w:r>
      <w:r>
        <w:t xml:space="preserve"> </w:t>
      </w:r>
    </w:p>
    <w:p>
      <w:pPr>
        <w:spacing w:after="212"/>
      </w:pPr>
      <w:r>
        <w:t>项目编号：</w:t>
      </w:r>
      <w:r>
        <w:rPr>
          <w:u w:val="single" w:color="000000"/>
        </w:rPr>
        <w:t xml:space="preserve">          </w:t>
      </w:r>
      <w:r>
        <w:t xml:space="preserve"> </w:t>
      </w:r>
    </w:p>
    <w:p>
      <w:pPr>
        <w:spacing w:after="33" w:line="276" w:lineRule="auto"/>
        <w:ind w:left="187" w:right="0" w:firstLine="0"/>
      </w:pPr>
      <w:r>
        <w:rPr>
          <w:rFonts w:ascii="Times New Roman" w:hAnsi="Times New Roman" w:eastAsia="Times New Roman" w:cs="Times New Roman"/>
          <w:sz w:val="22"/>
        </w:rPr>
        <w:t xml:space="preserve"> </w:t>
      </w:r>
    </w:p>
    <w:tbl>
      <w:tblPr>
        <w:tblStyle w:val="11"/>
        <w:tblW w:w="9141" w:type="dxa"/>
        <w:tblInd w:w="324" w:type="dxa"/>
        <w:tblLayout w:type="autofit"/>
        <w:tblCellMar>
          <w:top w:w="0" w:type="dxa"/>
          <w:left w:w="109" w:type="dxa"/>
          <w:bottom w:w="0" w:type="dxa"/>
          <w:right w:w="115" w:type="dxa"/>
        </w:tblCellMar>
      </w:tblPr>
      <w:tblGrid>
        <w:gridCol w:w="2465"/>
        <w:gridCol w:w="6676"/>
      </w:tblGrid>
      <w:tr>
        <w:tblPrEx>
          <w:tblCellMar>
            <w:top w:w="0" w:type="dxa"/>
            <w:left w:w="109" w:type="dxa"/>
            <w:bottom w:w="0" w:type="dxa"/>
            <w:right w:w="115" w:type="dxa"/>
          </w:tblCellMar>
        </w:tblPrEx>
        <w:trPr>
          <w:trHeight w:val="937" w:hRule="atLeast"/>
        </w:trPr>
        <w:tc>
          <w:tcPr>
            <w:tcW w:w="246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投标人全称 </w:t>
            </w:r>
          </w:p>
        </w:tc>
        <w:tc>
          <w:tcPr>
            <w:tcW w:w="667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r>
        <w:tblPrEx>
          <w:tblCellMar>
            <w:top w:w="0" w:type="dxa"/>
            <w:left w:w="109" w:type="dxa"/>
            <w:bottom w:w="0" w:type="dxa"/>
            <w:right w:w="115" w:type="dxa"/>
          </w:tblCellMar>
        </w:tblPrEx>
        <w:trPr>
          <w:trHeight w:val="721" w:hRule="atLeast"/>
        </w:trPr>
        <w:tc>
          <w:tcPr>
            <w:tcW w:w="246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投标范围 </w:t>
            </w:r>
          </w:p>
        </w:tc>
        <w:tc>
          <w:tcPr>
            <w:tcW w:w="667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全部 </w:t>
            </w:r>
          </w:p>
        </w:tc>
      </w:tr>
      <w:tr>
        <w:tblPrEx>
          <w:tblCellMar>
            <w:top w:w="0" w:type="dxa"/>
            <w:left w:w="109" w:type="dxa"/>
            <w:bottom w:w="0" w:type="dxa"/>
            <w:right w:w="115" w:type="dxa"/>
          </w:tblCellMar>
        </w:tblPrEx>
        <w:trPr>
          <w:trHeight w:val="1412" w:hRule="atLeast"/>
        </w:trPr>
        <w:tc>
          <w:tcPr>
            <w:tcW w:w="246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投标报价 </w:t>
            </w:r>
          </w:p>
        </w:tc>
        <w:tc>
          <w:tcPr>
            <w:tcW w:w="6676" w:type="dxa"/>
            <w:tcBorders>
              <w:top w:val="single" w:color="000000" w:sz="6" w:space="0"/>
              <w:left w:val="single" w:color="000000" w:sz="6" w:space="0"/>
              <w:bottom w:val="single" w:color="000000" w:sz="6" w:space="0"/>
              <w:right w:val="single" w:color="000000" w:sz="6" w:space="0"/>
            </w:tcBorders>
          </w:tcPr>
          <w:p>
            <w:pPr>
              <w:spacing w:after="219" w:line="240" w:lineRule="auto"/>
              <w:ind w:left="0" w:right="0" w:firstLine="0"/>
            </w:pPr>
            <w:r>
              <w:t xml:space="preserve"> </w:t>
            </w:r>
          </w:p>
          <w:p>
            <w:pPr>
              <w:spacing w:after="205" w:line="240" w:lineRule="auto"/>
              <w:ind w:left="0" w:right="0" w:firstLine="0"/>
            </w:pPr>
            <w:r>
              <w:rPr>
                <w:u w:val="single" w:color="000000"/>
              </w:rPr>
              <w:t xml:space="preserve">         </w:t>
            </w:r>
            <w:r>
              <w:t xml:space="preserve"> </w:t>
            </w:r>
          </w:p>
          <w:p>
            <w:pPr>
              <w:spacing w:after="0" w:line="276" w:lineRule="auto"/>
              <w:ind w:left="0" w:right="0" w:firstLine="0"/>
            </w:pPr>
            <w:r>
              <w:t xml:space="preserve"> </w:t>
            </w:r>
          </w:p>
        </w:tc>
      </w:tr>
      <w:tr>
        <w:tblPrEx>
          <w:tblCellMar>
            <w:top w:w="0" w:type="dxa"/>
            <w:left w:w="109" w:type="dxa"/>
            <w:bottom w:w="0" w:type="dxa"/>
            <w:right w:w="115" w:type="dxa"/>
          </w:tblCellMar>
        </w:tblPrEx>
        <w:trPr>
          <w:trHeight w:val="4814" w:hRule="atLeast"/>
        </w:trPr>
        <w:tc>
          <w:tcPr>
            <w:tcW w:w="246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备注 </w:t>
            </w:r>
          </w:p>
        </w:tc>
        <w:tc>
          <w:tcPr>
            <w:tcW w:w="667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t xml:space="preserve"> </w:t>
            </w:r>
          </w:p>
        </w:tc>
      </w:tr>
    </w:tbl>
    <w:p>
      <w:pPr>
        <w:spacing w:after="355"/>
      </w:pPr>
      <w:r>
        <w:t xml:space="preserve">投标人签章：                                            </w:t>
      </w:r>
    </w:p>
    <w:p>
      <w:pPr>
        <w:spacing w:after="355"/>
        <w:rPr>
          <w:rFonts w:eastAsiaTheme="minorEastAsia"/>
        </w:rPr>
      </w:pPr>
    </w:p>
    <w:p>
      <w:pPr>
        <w:spacing w:after="355"/>
        <w:rPr>
          <w:rFonts w:eastAsiaTheme="minorEastAsia"/>
        </w:rPr>
      </w:pPr>
    </w:p>
    <w:p>
      <w:pPr>
        <w:spacing w:after="355"/>
        <w:rPr>
          <w:rFonts w:eastAsiaTheme="minorEastAsia"/>
        </w:rPr>
      </w:pPr>
    </w:p>
    <w:p>
      <w:pPr>
        <w:spacing w:after="355"/>
      </w:pPr>
    </w:p>
    <w:p>
      <w:pPr>
        <w:spacing w:after="355"/>
      </w:pPr>
      <w:r>
        <w:t xml:space="preserve"> 1-2 分项报价表 </w:t>
      </w:r>
    </w:p>
    <w:p>
      <w:pPr>
        <w:spacing w:after="70" w:line="276" w:lineRule="auto"/>
        <w:ind w:left="663" w:right="0" w:firstLine="0"/>
      </w:pPr>
      <w:r>
        <w:rPr>
          <w:rFonts w:ascii="Times New Roman" w:hAnsi="Times New Roman" w:eastAsia="Times New Roman" w:cs="Times New Roman"/>
          <w:b/>
        </w:rPr>
        <w:t xml:space="preserve"> </w:t>
      </w:r>
    </w:p>
    <w:tbl>
      <w:tblPr>
        <w:tblStyle w:val="11"/>
        <w:tblW w:w="9645" w:type="dxa"/>
        <w:tblInd w:w="65" w:type="dxa"/>
        <w:tblLayout w:type="autofit"/>
        <w:tblCellMar>
          <w:top w:w="0" w:type="dxa"/>
          <w:left w:w="108" w:type="dxa"/>
          <w:bottom w:w="0" w:type="dxa"/>
          <w:right w:w="83" w:type="dxa"/>
        </w:tblCellMar>
      </w:tblPr>
      <w:tblGrid>
        <w:gridCol w:w="850"/>
        <w:gridCol w:w="1946"/>
        <w:gridCol w:w="1384"/>
        <w:gridCol w:w="851"/>
        <w:gridCol w:w="836"/>
        <w:gridCol w:w="851"/>
        <w:gridCol w:w="1125"/>
        <w:gridCol w:w="966"/>
        <w:gridCol w:w="836"/>
      </w:tblGrid>
      <w:tr>
        <w:tblPrEx>
          <w:tblCellMar>
            <w:top w:w="0" w:type="dxa"/>
            <w:left w:w="108" w:type="dxa"/>
            <w:bottom w:w="0" w:type="dxa"/>
            <w:right w:w="83" w:type="dxa"/>
          </w:tblCellMar>
        </w:tblPrEx>
        <w:trPr>
          <w:trHeight w:val="576" w:hRule="atLeast"/>
        </w:trPr>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01" w:right="0" w:firstLine="0"/>
            </w:pPr>
            <w:r>
              <w:rPr>
                <w:sz w:val="22"/>
              </w:rPr>
              <w:t>序号</w:t>
            </w:r>
            <w:r>
              <w:rPr>
                <w:rFonts w:ascii="Times New Roman" w:hAnsi="Times New Roman" w:eastAsia="Times New Roman" w:cs="Times New Roman"/>
                <w:b/>
                <w:sz w:val="22"/>
              </w:rPr>
              <w:t xml:space="preserve"> </w:t>
            </w:r>
          </w:p>
        </w:tc>
        <w:tc>
          <w:tcPr>
            <w:tcW w:w="194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sz w:val="22"/>
              </w:rPr>
              <w:t>名称</w:t>
            </w:r>
            <w:r>
              <w:rPr>
                <w:rFonts w:ascii="Times New Roman" w:hAnsi="Times New Roman" w:eastAsia="Times New Roman" w:cs="Times New Roman"/>
                <w:b/>
                <w:sz w:val="22"/>
              </w:rPr>
              <w:t xml:space="preserve"> </w:t>
            </w:r>
          </w:p>
        </w:tc>
        <w:tc>
          <w:tcPr>
            <w:tcW w:w="138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30" w:right="0" w:firstLine="0"/>
            </w:pPr>
            <w:r>
              <w:rPr>
                <w:sz w:val="22"/>
              </w:rPr>
              <w:t>规格型号</w:t>
            </w:r>
            <w:r>
              <w:rPr>
                <w:rFonts w:ascii="Times New Roman" w:hAnsi="Times New Roman" w:eastAsia="Times New Roman" w:cs="Times New Roman"/>
                <w:b/>
                <w:sz w:val="22"/>
              </w:rPr>
              <w:t xml:space="preserve">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72" w:right="0" w:firstLine="0"/>
            </w:pPr>
            <w:r>
              <w:rPr>
                <w:sz w:val="22"/>
              </w:rPr>
              <w:t>品牌</w:t>
            </w:r>
            <w:r>
              <w:rPr>
                <w:rFonts w:ascii="Times New Roman" w:hAnsi="Times New Roman" w:eastAsia="Times New Roman" w:cs="Times New Roman"/>
                <w:b/>
                <w:sz w:val="22"/>
              </w:rP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86" w:right="0" w:firstLine="0"/>
            </w:pPr>
            <w:r>
              <w:rPr>
                <w:sz w:val="22"/>
              </w:rPr>
              <w:t>数量</w:t>
            </w:r>
            <w:r>
              <w:rPr>
                <w:rFonts w:ascii="Times New Roman" w:hAnsi="Times New Roman" w:eastAsia="Times New Roman" w:cs="Times New Roman"/>
                <w:b/>
                <w:sz w:val="22"/>
              </w:rPr>
              <w:t xml:space="preserve">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87" w:right="0" w:firstLine="0"/>
            </w:pPr>
            <w:r>
              <w:rPr>
                <w:sz w:val="22"/>
              </w:rPr>
              <w:t>单位</w:t>
            </w:r>
            <w:r>
              <w:rPr>
                <w:rFonts w:ascii="Times New Roman" w:hAnsi="Times New Roman" w:eastAsia="Times New Roman" w:cs="Times New Roman"/>
                <w:b/>
                <w:sz w:val="22"/>
              </w:rPr>
              <w:t xml:space="preserve"> </w:t>
            </w:r>
          </w:p>
        </w:tc>
        <w:tc>
          <w:tcPr>
            <w:tcW w:w="1125" w:type="dxa"/>
            <w:tcBorders>
              <w:top w:val="single" w:color="000000" w:sz="6" w:space="0"/>
              <w:left w:val="single" w:color="000000" w:sz="6" w:space="0"/>
              <w:bottom w:val="single" w:color="000000" w:sz="6" w:space="0"/>
              <w:right w:val="single" w:color="000000" w:sz="6" w:space="0"/>
            </w:tcBorders>
          </w:tcPr>
          <w:p>
            <w:pPr>
              <w:spacing w:after="46" w:line="240" w:lineRule="auto"/>
              <w:ind w:left="0" w:right="0" w:firstLine="0"/>
              <w:jc w:val="both"/>
            </w:pPr>
            <w:r>
              <w:rPr>
                <w:sz w:val="22"/>
              </w:rPr>
              <w:t>单价最高</w:t>
            </w:r>
          </w:p>
          <w:p>
            <w:pPr>
              <w:spacing w:after="0" w:line="276" w:lineRule="auto"/>
              <w:ind w:left="0" w:right="0" w:firstLine="0"/>
              <w:jc w:val="both"/>
            </w:pPr>
            <w:r>
              <w:rPr>
                <w:sz w:val="22"/>
              </w:rPr>
              <w:t>限价（元）</w:t>
            </w:r>
            <w:r>
              <w:rPr>
                <w:rFonts w:ascii="Times New Roman" w:hAnsi="Times New Roman" w:eastAsia="Times New Roman" w:cs="Times New Roman"/>
                <w:b/>
                <w:sz w:val="22"/>
              </w:rPr>
              <w:t xml:space="preserve"> </w:t>
            </w:r>
          </w:p>
        </w:tc>
        <w:tc>
          <w:tcPr>
            <w:tcW w:w="966" w:type="dxa"/>
            <w:tcBorders>
              <w:top w:val="single" w:color="000000" w:sz="6" w:space="0"/>
              <w:left w:val="single" w:color="000000" w:sz="6" w:space="0"/>
              <w:bottom w:val="single" w:color="000000" w:sz="6" w:space="0"/>
              <w:right w:val="single" w:color="000000" w:sz="6" w:space="0"/>
            </w:tcBorders>
          </w:tcPr>
          <w:p>
            <w:pPr>
              <w:spacing w:after="45" w:line="240" w:lineRule="auto"/>
              <w:ind w:left="144" w:right="0" w:firstLine="0"/>
            </w:pPr>
            <w:r>
              <w:rPr>
                <w:sz w:val="22"/>
              </w:rPr>
              <w:t>合计</w:t>
            </w:r>
          </w:p>
          <w:p>
            <w:pPr>
              <w:spacing w:after="0" w:line="276" w:lineRule="auto"/>
              <w:ind w:left="29" w:right="0" w:firstLine="0"/>
              <w:jc w:val="both"/>
            </w:pPr>
            <w:r>
              <w:rPr>
                <w:sz w:val="22"/>
              </w:rPr>
              <w:t>（元）</w:t>
            </w:r>
            <w:r>
              <w:rPr>
                <w:rFonts w:ascii="Times New Roman" w:hAnsi="Times New Roman" w:eastAsia="Times New Roman" w:cs="Times New Roman"/>
                <w:b/>
                <w:sz w:val="22"/>
              </w:rP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72" w:right="0" w:firstLine="0"/>
            </w:pPr>
            <w:r>
              <w:rPr>
                <w:sz w:val="22"/>
              </w:rPr>
              <w:t>备注</w:t>
            </w:r>
            <w:r>
              <w:rPr>
                <w:rFonts w:ascii="Times New Roman" w:hAnsi="Times New Roman" w:eastAsia="Times New Roman" w:cs="Times New Roman"/>
                <w:b/>
                <w:sz w:val="22"/>
              </w:rPr>
              <w:t xml:space="preserve"> </w:t>
            </w:r>
          </w:p>
        </w:tc>
      </w:tr>
      <w:tr>
        <w:tblPrEx>
          <w:tblCellMar>
            <w:top w:w="0" w:type="dxa"/>
            <w:left w:w="108" w:type="dxa"/>
            <w:bottom w:w="0" w:type="dxa"/>
            <w:right w:w="83" w:type="dxa"/>
          </w:tblCellMar>
        </w:tblPrEx>
        <w:trPr>
          <w:trHeight w:val="577" w:hRule="atLeast"/>
        </w:trPr>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1 </w:t>
            </w:r>
          </w:p>
        </w:tc>
        <w:tc>
          <w:tcPr>
            <w:tcW w:w="194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sz w:val="22"/>
              </w:rPr>
            </w:pPr>
            <w:r>
              <w:rPr>
                <w:sz w:val="22"/>
              </w:rPr>
              <w:t>KIS对接开发费</w:t>
            </w:r>
          </w:p>
        </w:tc>
        <w:tc>
          <w:tcPr>
            <w:tcW w:w="138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5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rFonts w:eastAsiaTheme="minorEastAsia"/>
              </w:rPr>
            </w:pPr>
            <w:r>
              <w:rPr>
                <w:rFonts w:hint="eastAsia" w:eastAsiaTheme="minorEastAsia"/>
              </w:rPr>
              <w:t>1</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sz w:val="22"/>
              </w:rPr>
              <w:t>套</w:t>
            </w:r>
            <w:r>
              <w:rPr>
                <w:rFonts w:ascii="Times New Roman" w:hAnsi="Times New Roman" w:eastAsia="Times New Roman" w:cs="Times New Roman"/>
                <w:sz w:val="22"/>
              </w:rPr>
              <w:t xml:space="preserve"> </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3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0" w:type="dxa"/>
            <w:left w:w="108" w:type="dxa"/>
            <w:bottom w:w="0" w:type="dxa"/>
            <w:right w:w="83" w:type="dxa"/>
          </w:tblCellMar>
        </w:tblPrEx>
        <w:trPr>
          <w:trHeight w:val="576" w:hRule="atLeast"/>
        </w:trPr>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2 </w:t>
            </w:r>
          </w:p>
        </w:tc>
        <w:tc>
          <w:tcPr>
            <w:tcW w:w="194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sz w:val="22"/>
              </w:rPr>
            </w:pPr>
            <w:r>
              <w:rPr>
                <w:sz w:val="22"/>
              </w:rPr>
              <w:t>WMS智能仓储系统</w:t>
            </w:r>
          </w:p>
        </w:tc>
        <w:tc>
          <w:tcPr>
            <w:tcW w:w="138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5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rFonts w:eastAsiaTheme="minorEastAsia"/>
              </w:rPr>
            </w:pPr>
            <w:r>
              <w:rPr>
                <w:rFonts w:hint="eastAsia" w:eastAsiaTheme="minorEastAsia"/>
              </w:rPr>
              <w:t>1</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sz w:val="22"/>
              </w:rPr>
              <w:t>套</w:t>
            </w:r>
            <w:r>
              <w:rPr>
                <w:rFonts w:ascii="Times New Roman" w:hAnsi="Times New Roman" w:eastAsia="Times New Roman" w:cs="Times New Roman"/>
                <w:sz w:val="22"/>
              </w:rPr>
              <w:t xml:space="preserve"> </w:t>
            </w:r>
          </w:p>
        </w:tc>
        <w:tc>
          <w:tcPr>
            <w:tcW w:w="112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3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0" w:type="dxa"/>
            <w:left w:w="108" w:type="dxa"/>
            <w:bottom w:w="0" w:type="dxa"/>
            <w:right w:w="83" w:type="dxa"/>
          </w:tblCellMar>
        </w:tblPrEx>
        <w:trPr>
          <w:trHeight w:val="591" w:hRule="atLeast"/>
        </w:trPr>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3 </w:t>
            </w:r>
          </w:p>
        </w:tc>
        <w:tc>
          <w:tcPr>
            <w:tcW w:w="194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rFonts w:eastAsiaTheme="minorEastAsia"/>
                <w:sz w:val="22"/>
              </w:rPr>
            </w:pPr>
          </w:p>
        </w:tc>
        <w:tc>
          <w:tcPr>
            <w:tcW w:w="138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5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 </w:t>
            </w:r>
          </w:p>
        </w:tc>
        <w:tc>
          <w:tcPr>
            <w:tcW w:w="112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3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0" w:type="dxa"/>
            <w:left w:w="108" w:type="dxa"/>
            <w:bottom w:w="0" w:type="dxa"/>
            <w:right w:w="83" w:type="dxa"/>
          </w:tblCellMar>
        </w:tblPrEx>
        <w:trPr>
          <w:trHeight w:val="576" w:hRule="atLeast"/>
        </w:trPr>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4 </w:t>
            </w:r>
          </w:p>
        </w:tc>
        <w:tc>
          <w:tcPr>
            <w:tcW w:w="194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sz w:val="22"/>
              </w:rPr>
            </w:pPr>
          </w:p>
        </w:tc>
        <w:tc>
          <w:tcPr>
            <w:tcW w:w="138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5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p>
        </w:tc>
        <w:tc>
          <w:tcPr>
            <w:tcW w:w="112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3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0" w:type="dxa"/>
            <w:left w:w="108" w:type="dxa"/>
            <w:bottom w:w="0" w:type="dxa"/>
            <w:right w:w="83" w:type="dxa"/>
          </w:tblCellMar>
        </w:tblPrEx>
        <w:trPr>
          <w:trHeight w:val="562" w:hRule="atLeast"/>
        </w:trPr>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5 </w:t>
            </w:r>
          </w:p>
        </w:tc>
        <w:tc>
          <w:tcPr>
            <w:tcW w:w="194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rPr>
                <w:sz w:val="22"/>
              </w:rPr>
            </w:pPr>
            <w:r>
              <w:rPr>
                <w:sz w:val="22"/>
              </w:rPr>
              <w:t xml:space="preserve">合计 </w:t>
            </w:r>
          </w:p>
        </w:tc>
        <w:tc>
          <w:tcPr>
            <w:tcW w:w="138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5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3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 </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 </w:t>
            </w:r>
          </w:p>
        </w:tc>
        <w:tc>
          <w:tcPr>
            <w:tcW w:w="112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83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bl>
    <w:p>
      <w:pPr>
        <w:spacing w:after="172" w:line="240" w:lineRule="auto"/>
        <w:ind w:left="187" w:right="0" w:firstLine="0"/>
      </w:pPr>
      <w:r>
        <w:rPr>
          <w:rFonts w:ascii="Times New Roman" w:hAnsi="Times New Roman" w:eastAsia="Times New Roman" w:cs="Times New Roman"/>
          <w:b/>
        </w:rPr>
        <w:t xml:space="preserve"> </w:t>
      </w:r>
    </w:p>
    <w:p>
      <w:pPr>
        <w:spacing w:after="307" w:line="479" w:lineRule="auto"/>
        <w:ind w:left="172" w:firstLine="476"/>
        <w:rPr>
          <w:rFonts w:ascii="Times New Roman" w:hAnsi="Times New Roman" w:eastAsia="Times New Roman" w:cs="Times New Roman"/>
          <w:b/>
          <w:color w:val="000000" w:themeColor="text1"/>
          <w14:textFill>
            <w14:solidFill>
              <w14:schemeClr w14:val="tx1"/>
            </w14:solidFill>
          </w14:textFill>
        </w:rPr>
      </w:pPr>
      <w:r>
        <w:t>注：投标人报价包含提供本项目招标需求第五项（软硬件清单及技术参数要求）要求的所有软、硬件采购费用，以及系统开发、安装、调试、培训、接口对接和开发、质保期内的软件升级、维护、售后服务、税金等涉及的所有费用。投标人所报单价不得超过控制单价，否则视为投标无效，投标人所报总价超过概算的，视为投标无效。</w:t>
      </w:r>
      <w:r>
        <w:rPr>
          <w:color w:val="000000" w:themeColor="text1"/>
          <w14:textFill>
            <w14:solidFill>
              <w14:schemeClr w14:val="tx1"/>
            </w14:solidFill>
          </w14:textFill>
        </w:rPr>
        <w:t>保障智能仓储系统和现有财务系统，数据交换无障碍运行，其中技术开发等工作由中标单位负责，费用含在此次报价中，不再另行支付。</w:t>
      </w:r>
      <w:r>
        <w:rPr>
          <w:rFonts w:ascii="Times New Roman" w:hAnsi="Times New Roman" w:eastAsia="Times New Roman" w:cs="Times New Roman"/>
          <w:b/>
          <w:color w:val="000000" w:themeColor="text1"/>
          <w14:textFill>
            <w14:solidFill>
              <w14:schemeClr w14:val="tx1"/>
            </w14:solidFill>
          </w14:textFill>
        </w:rPr>
        <w:t xml:space="preserve"> </w:t>
      </w:r>
    </w:p>
    <w:p>
      <w:pPr>
        <w:spacing w:after="0" w:line="389" w:lineRule="auto"/>
      </w:pPr>
      <w:r>
        <w:t xml:space="preserve"> </w:t>
      </w:r>
    </w:p>
    <w:p>
      <w:pPr>
        <w:spacing w:after="0" w:line="389" w:lineRule="auto"/>
      </w:pPr>
    </w:p>
    <w:p>
      <w:pPr>
        <w:spacing w:after="0" w:line="389" w:lineRule="auto"/>
      </w:pPr>
    </w:p>
    <w:p>
      <w:pPr>
        <w:spacing w:after="0" w:line="389" w:lineRule="auto"/>
      </w:pPr>
    </w:p>
    <w:p>
      <w:pPr>
        <w:spacing w:after="0" w:line="389" w:lineRule="auto"/>
      </w:pPr>
    </w:p>
    <w:p>
      <w:pPr>
        <w:spacing w:after="0" w:line="389" w:lineRule="auto"/>
      </w:pPr>
    </w:p>
    <w:p>
      <w:pPr>
        <w:spacing w:after="0" w:line="389" w:lineRule="auto"/>
      </w:pPr>
    </w:p>
    <w:p>
      <w:pPr>
        <w:spacing w:after="0" w:line="389" w:lineRule="auto"/>
      </w:pPr>
    </w:p>
    <w:p>
      <w:pPr>
        <w:spacing w:after="0" w:line="240" w:lineRule="auto"/>
        <w:ind w:left="0" w:right="0" w:firstLine="0"/>
        <w:rPr>
          <w:rFonts w:eastAsiaTheme="minorEastAsia"/>
        </w:rPr>
      </w:pPr>
    </w:p>
    <w:p>
      <w:pPr>
        <w:pStyle w:val="3"/>
        <w:spacing w:after="763" w:line="240" w:lineRule="auto"/>
        <w:ind w:left="3316" w:right="0" w:firstLine="0"/>
        <w:jc w:val="left"/>
      </w:pPr>
      <w:bookmarkStart w:id="13" w:name="_Toc87528835"/>
      <w:r>
        <w:t>三．投标人情况综合简介</w:t>
      </w:r>
      <w:bookmarkEnd w:id="13"/>
      <w:r>
        <w:t xml:space="preserve"> </w:t>
      </w:r>
    </w:p>
    <w:p>
      <w:pPr>
        <w:ind w:left="3556"/>
      </w:pPr>
      <w:r>
        <w:t xml:space="preserve">(投标人可自行制作格式) </w:t>
      </w:r>
    </w:p>
    <w:p>
      <w:pPr>
        <w:spacing w:line="240" w:lineRule="auto"/>
        <w:ind w:left="0" w:right="0" w:firstLine="0"/>
        <w:jc w:val="center"/>
      </w:pPr>
      <w:r>
        <w:rPr>
          <w:sz w:val="27"/>
        </w:rPr>
        <w:t xml:space="preserve"> </w:t>
      </w:r>
    </w:p>
    <w:p>
      <w:pPr>
        <w:spacing w:after="0" w:line="375" w:lineRule="auto"/>
        <w:ind w:left="4902" w:right="4739" w:firstLine="0"/>
        <w:jc w:val="both"/>
      </w:pPr>
      <w:r>
        <w:rPr>
          <w:sz w:val="27"/>
        </w:rPr>
        <w:t xml:space="preserve">  </w:t>
      </w:r>
      <w:r>
        <w:br w:type="page"/>
      </w:r>
    </w:p>
    <w:p>
      <w:pPr>
        <w:pStyle w:val="3"/>
      </w:pPr>
      <w:bookmarkStart w:id="14" w:name="_Toc87528836"/>
      <w:r>
        <w:t>四．投标函</w:t>
      </w:r>
      <w:bookmarkEnd w:id="14"/>
      <w:r>
        <w:t xml:space="preserve"> </w:t>
      </w:r>
    </w:p>
    <w:p>
      <w:pPr>
        <w:spacing w:line="383" w:lineRule="auto"/>
        <w:ind w:left="778" w:right="4335" w:hanging="606"/>
      </w:pPr>
      <w:r>
        <w:t>致：</w:t>
      </w:r>
      <w:r>
        <w:rPr>
          <w:rFonts w:hint="eastAsia" w:eastAsiaTheme="minorEastAsia"/>
        </w:rPr>
        <w:t xml:space="preserve"> </w:t>
      </w:r>
      <w:r>
        <w:t xml:space="preserve"> 长丰供水集团有限公司 </w:t>
      </w:r>
    </w:p>
    <w:p>
      <w:pPr>
        <w:spacing w:line="389" w:lineRule="auto"/>
        <w:ind w:left="172" w:firstLine="635"/>
      </w:pPr>
      <w:r>
        <w:t xml:space="preserve">根据贵方“长丰供水集团智能仓储管理系统建设”的招标邀请书或招标公告，我方提交规定形式的响应文件。 据此函，我方兹宣布同意如下： </w:t>
      </w:r>
    </w:p>
    <w:p>
      <w:pPr>
        <w:spacing w:line="389" w:lineRule="auto"/>
        <w:ind w:left="172" w:firstLine="635"/>
      </w:pPr>
      <w:r>
        <w:t xml:space="preserve">1.我方按招标文件规定提供最后报价，我方完全响应招标文件规定的服务期限及付款和结算方式。如我方中标，我方承诺愿意按招标文件规定交纳履约保证金以及招标代理服务费。 </w:t>
      </w:r>
    </w:p>
    <w:p>
      <w:pPr>
        <w:spacing w:line="383" w:lineRule="auto"/>
        <w:ind w:left="172" w:firstLine="635"/>
      </w:pPr>
      <w:r>
        <w:t xml:space="preserve">2.我方根据招标文件的规定，严格履行合同的责任和义务,并保证于买方要求的日期内完成服务，并通过买方验收。 </w:t>
      </w:r>
    </w:p>
    <w:p>
      <w:pPr>
        <w:ind w:left="832"/>
      </w:pPr>
      <w:r>
        <w:t xml:space="preserve">3.我方承诺报价低于同类服务的市场平均价格。 </w:t>
      </w:r>
    </w:p>
    <w:p>
      <w:pPr>
        <w:spacing w:line="389" w:lineRule="auto"/>
        <w:ind w:left="172" w:firstLine="635"/>
      </w:pPr>
      <w:r>
        <w:t xml:space="preserve">4.我方已详细审核全部招标文件，包括招标文件的答疑、澄清、变更或补充（如有）、参考资料及有关附件，我方正式认可并遵守本次招标文件，并对招标文件各项条款（包括招标时间）、规定及要求均无异议。我方知道必须放弃提出含糊不清或误解的问题的权利。 </w:t>
      </w:r>
    </w:p>
    <w:p>
      <w:pPr>
        <w:spacing w:line="383" w:lineRule="auto"/>
        <w:ind w:left="172" w:firstLine="606"/>
      </w:pPr>
      <w:r>
        <w:t xml:space="preserve">5.我方同意从招标文件规定的招标日期起遵循本响应文件，并在招标文件规定的投标有效期之前均具有约束力。 </w:t>
      </w:r>
    </w:p>
    <w:p>
      <w:pPr>
        <w:spacing w:line="383" w:lineRule="auto"/>
        <w:ind w:left="172" w:firstLine="606"/>
      </w:pPr>
      <w:r>
        <w:t>6.我方承诺如招标保证金未在招标文件规定时间前到达贵方指定的账户，我方投标无效，由此产生的一切后果由我方承担；如果在招标后规定的投标有效期内撤回投标，我方</w:t>
      </w:r>
    </w:p>
    <w:p>
      <w:r>
        <w:t xml:space="preserve">的招标保证金可被贵方没收。 </w:t>
      </w:r>
    </w:p>
    <w:p>
      <w:pPr>
        <w:spacing w:line="389" w:lineRule="auto"/>
        <w:ind w:left="172" w:firstLine="606"/>
      </w:pPr>
      <w:r>
        <w:t xml:space="preserve">7.我方声明响应文件所提供的一切资料均真实无误、及时、有效。企业运营正常（注册登记信息、年报信息可查）。由于我方提供资料不实而造成的责任和后果由我方承担。我方同意按照贵方提出的要求，提供与投标有关的任何证据、数据或资料。 </w:t>
      </w:r>
    </w:p>
    <w:p>
      <w:pPr>
        <w:ind w:left="803"/>
      </w:pPr>
      <w:r>
        <w:t xml:space="preserve">8.我方承诺若中标，按招标文件要求提供本地化服务。 </w:t>
      </w:r>
    </w:p>
    <w:p>
      <w:pPr>
        <w:ind w:left="803"/>
      </w:pPr>
      <w:r>
        <w:t xml:space="preserve">9.我方完全理解贵方不一定接受最低报价的投标。 </w:t>
      </w:r>
    </w:p>
    <w:p>
      <w:pPr>
        <w:spacing w:line="389" w:lineRule="auto"/>
        <w:ind w:left="172" w:firstLine="606"/>
      </w:pPr>
      <w:r>
        <w:t xml:space="preserve">11.我方承诺，我单位所投（供）产品及提供的服务达到或优于本项目招标文件的标准要求。标后贵方将对我单位所投（供）产品及提供的服务进行核实，合同签订后贵方核实我单位所投（供）产品及提供的服务达不到本项目招标文件的要求，均按我单位违约处理，贵方有权终止合同，并上报合肥市公共资源交易监督管理部门处理，由此产生的一切相关责任和后果由我单位自行承担。 </w:t>
      </w:r>
    </w:p>
    <w:p>
      <w:pPr>
        <w:spacing w:line="383" w:lineRule="auto"/>
        <w:ind w:left="832" w:right="1251"/>
      </w:pPr>
      <w:r>
        <w:t>12.与本投标有关的通讯地址：</w:t>
      </w:r>
      <w:r>
        <w:rPr>
          <w:u w:val="single" w:color="000000"/>
        </w:rPr>
        <w:t xml:space="preserve">                                  </w:t>
      </w:r>
      <w:r>
        <w:t xml:space="preserve"> </w:t>
      </w:r>
    </w:p>
    <w:p>
      <w:pPr>
        <w:spacing w:line="383" w:lineRule="auto"/>
        <w:ind w:left="832" w:right="1251"/>
        <w:rPr>
          <w:u w:val="single" w:color="000000"/>
        </w:rPr>
      </w:pPr>
      <w:r>
        <w:t>电    话：</w:t>
      </w:r>
      <w:r>
        <w:rPr>
          <w:u w:val="single" w:color="000000"/>
        </w:rPr>
        <w:t xml:space="preserve">                      </w:t>
      </w:r>
    </w:p>
    <w:p>
      <w:pPr>
        <w:spacing w:line="383" w:lineRule="auto"/>
        <w:ind w:left="832" w:right="1251"/>
      </w:pPr>
      <w:r>
        <w:t>传    真：</w:t>
      </w:r>
      <w:r>
        <w:rPr>
          <w:u w:val="single" w:color="000000"/>
        </w:rPr>
        <w:t xml:space="preserve">                 </w:t>
      </w:r>
      <w:r>
        <w:t xml:space="preserve"> </w:t>
      </w:r>
    </w:p>
    <w:p>
      <w:pPr>
        <w:spacing w:after="0" w:line="383" w:lineRule="auto"/>
        <w:ind w:left="832"/>
      </w:pPr>
      <w:r>
        <w:t>投标人基本账户开户名：</w:t>
      </w:r>
      <w:r>
        <w:rPr>
          <w:u w:val="single" w:color="000000"/>
        </w:rPr>
        <w:t xml:space="preserve">           </w:t>
      </w:r>
      <w:r>
        <w:t xml:space="preserve"> </w:t>
      </w:r>
    </w:p>
    <w:p>
      <w:pPr>
        <w:spacing w:after="0" w:line="383" w:lineRule="auto"/>
        <w:ind w:left="832"/>
      </w:pPr>
      <w:r>
        <w:t>账号：</w:t>
      </w:r>
      <w:r>
        <w:rPr>
          <w:u w:val="single" w:color="000000"/>
        </w:rPr>
        <w:t xml:space="preserve">            </w:t>
      </w:r>
      <w:r>
        <w:t xml:space="preserve"> </w:t>
      </w:r>
    </w:p>
    <w:p>
      <w:pPr>
        <w:spacing w:after="0" w:line="383" w:lineRule="auto"/>
        <w:ind w:left="832"/>
      </w:pPr>
      <w:r>
        <w:t>开户行：</w:t>
      </w:r>
      <w:r>
        <w:rPr>
          <w:u w:val="single" w:color="000000"/>
        </w:rPr>
        <w:t xml:space="preserve">            </w:t>
      </w:r>
      <w:r>
        <w:t xml:space="preserve"> </w:t>
      </w:r>
    </w:p>
    <w:p>
      <w:pPr>
        <w:spacing w:after="0" w:line="383" w:lineRule="auto"/>
        <w:ind w:left="832"/>
        <w:rPr>
          <w:u w:val="single" w:color="000000"/>
        </w:rPr>
      </w:pPr>
      <w:r>
        <w:t xml:space="preserve">投标人电子签章： </w:t>
      </w:r>
      <w:r>
        <w:rPr>
          <w:u w:val="single" w:color="000000"/>
        </w:rPr>
        <w:t xml:space="preserve">                    </w:t>
      </w:r>
    </w:p>
    <w:p>
      <w:pPr>
        <w:spacing w:after="0" w:line="383" w:lineRule="auto"/>
        <w:ind w:left="832"/>
      </w:pPr>
      <w:r>
        <w:rPr>
          <w:u w:val="single" w:color="000000"/>
        </w:rPr>
        <w:t xml:space="preserve"> </w:t>
      </w:r>
      <w:r>
        <w:t>日    期：</w:t>
      </w:r>
      <w:r>
        <w:rPr>
          <w:u w:val="single" w:color="000000"/>
        </w:rPr>
        <w:t xml:space="preserve">                     </w:t>
      </w:r>
      <w:r>
        <w:t xml:space="preserve">  </w:t>
      </w:r>
      <w:r>
        <w:br w:type="page"/>
      </w:r>
    </w:p>
    <w:p>
      <w:pPr>
        <w:pStyle w:val="3"/>
      </w:pPr>
      <w:bookmarkStart w:id="15" w:name="_Toc87528837"/>
      <w:r>
        <w:t>五．投标人信用承诺</w:t>
      </w:r>
      <w:bookmarkEnd w:id="15"/>
      <w:r>
        <w:t xml:space="preserve"> </w:t>
      </w:r>
    </w:p>
    <w:p>
      <w:pPr>
        <w:spacing w:line="240" w:lineRule="auto"/>
        <w:ind w:left="832"/>
      </w:pPr>
      <w:r>
        <w:t xml:space="preserve">一、我公司申明： </w:t>
      </w:r>
    </w:p>
    <w:p>
      <w:pPr>
        <w:spacing w:line="240" w:lineRule="auto"/>
        <w:ind w:left="832"/>
      </w:pPr>
      <w:r>
        <w:t xml:space="preserve">1.我公司未被人民法院列入失信被执行人； </w:t>
      </w:r>
    </w:p>
    <w:p>
      <w:pPr>
        <w:spacing w:line="240" w:lineRule="auto"/>
        <w:ind w:left="832"/>
      </w:pPr>
      <w:r>
        <w:t xml:space="preserve">2.我公司和我公司法定代表人未被人民检察院列入行贿犯罪档案； </w:t>
      </w:r>
    </w:p>
    <w:p>
      <w:pPr>
        <w:spacing w:line="240" w:lineRule="auto"/>
        <w:ind w:left="172" w:right="143" w:firstLine="635"/>
      </w:pPr>
      <w:r>
        <w:t xml:space="preserve">3.我公司未被工商行政管理部门列入企业经营异常名录； </w:t>
      </w:r>
    </w:p>
    <w:p>
      <w:pPr>
        <w:spacing w:line="240" w:lineRule="auto"/>
        <w:ind w:left="172" w:right="143" w:firstLine="635"/>
        <w:rPr>
          <w:rFonts w:eastAsiaTheme="minorEastAsia"/>
        </w:rPr>
      </w:pPr>
      <w:r>
        <w:t>4.我公司未被税务部门列入重大税收违法案件当事人名单；</w:t>
      </w:r>
    </w:p>
    <w:p>
      <w:pPr>
        <w:spacing w:line="390" w:lineRule="auto"/>
        <w:ind w:left="172" w:right="143" w:firstLine="635"/>
      </w:pPr>
      <w:r>
        <w:t xml:space="preserve"> 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90" w:lineRule="auto"/>
        <w:ind w:left="172" w:right="143" w:firstLine="635"/>
      </w:pPr>
      <w:r>
        <w:t xml:space="preserve">我公司对以上承诺的真实性承担责任。 </w:t>
      </w:r>
    </w:p>
    <w:p>
      <w:pPr>
        <w:spacing w:after="219" w:line="240" w:lineRule="auto"/>
        <w:ind w:left="822" w:right="0" w:firstLine="0"/>
      </w:pPr>
      <w:r>
        <w:t xml:space="preserve"> </w:t>
      </w:r>
    </w:p>
    <w:p>
      <w:pPr>
        <w:spacing w:after="0"/>
        <w:ind w:left="832"/>
      </w:pPr>
      <w:r>
        <w:t xml:space="preserve">投标人签章： </w:t>
      </w:r>
      <w:r>
        <w:br w:type="page"/>
      </w:r>
    </w:p>
    <w:p>
      <w:pPr>
        <w:pStyle w:val="3"/>
      </w:pPr>
      <w:bookmarkStart w:id="16" w:name="_Toc87528838"/>
      <w:r>
        <w:t>六. 投标业绩</w:t>
      </w:r>
      <w:bookmarkEnd w:id="16"/>
      <w:r>
        <w:t xml:space="preserve"> </w:t>
      </w:r>
    </w:p>
    <w:p>
      <w:pPr>
        <w:spacing w:after="55"/>
        <w:ind w:left="10"/>
        <w:jc w:val="center"/>
      </w:pPr>
      <w:r>
        <w:rPr>
          <w:sz w:val="27"/>
        </w:rPr>
        <w:t>（一）业绩表</w:t>
      </w:r>
      <w:r>
        <w:rPr>
          <w:rFonts w:ascii="Times New Roman" w:hAnsi="Times New Roman" w:eastAsia="Times New Roman" w:cs="Times New Roman"/>
          <w:b/>
          <w:sz w:val="27"/>
        </w:rPr>
        <w:t xml:space="preserve"> </w:t>
      </w:r>
    </w:p>
    <w:p>
      <w:pPr>
        <w:spacing w:after="59"/>
        <w:ind w:left="10"/>
        <w:jc w:val="center"/>
      </w:pPr>
      <w:r>
        <w:t>（格式仅供参考）</w:t>
      </w:r>
      <w:r>
        <w:rPr>
          <w:rFonts w:ascii="Times New Roman" w:hAnsi="Times New Roman" w:eastAsia="Times New Roman" w:cs="Times New Roman"/>
        </w:rPr>
        <w:t xml:space="preserve"> </w:t>
      </w:r>
    </w:p>
    <w:tbl>
      <w:tblPr>
        <w:tblStyle w:val="11"/>
        <w:tblW w:w="9645" w:type="dxa"/>
        <w:tblInd w:w="65" w:type="dxa"/>
        <w:tblLayout w:type="autofit"/>
        <w:tblCellMar>
          <w:top w:w="0" w:type="dxa"/>
          <w:left w:w="108" w:type="dxa"/>
          <w:bottom w:w="0" w:type="dxa"/>
          <w:right w:w="115" w:type="dxa"/>
        </w:tblCellMar>
      </w:tblPr>
      <w:tblGrid>
        <w:gridCol w:w="705"/>
        <w:gridCol w:w="1067"/>
        <w:gridCol w:w="1039"/>
        <w:gridCol w:w="1888"/>
        <w:gridCol w:w="1182"/>
        <w:gridCol w:w="1500"/>
        <w:gridCol w:w="1672"/>
        <w:gridCol w:w="592"/>
      </w:tblGrid>
      <w:tr>
        <w:tblPrEx>
          <w:tblCellMar>
            <w:top w:w="0" w:type="dxa"/>
            <w:left w:w="108" w:type="dxa"/>
            <w:bottom w:w="0" w:type="dxa"/>
            <w:right w:w="115" w:type="dxa"/>
          </w:tblCellMar>
        </w:tblPrEx>
        <w:trPr>
          <w:trHeight w:val="951" w:hRule="atLeast"/>
        </w:trPr>
        <w:tc>
          <w:tcPr>
            <w:tcW w:w="706" w:type="dxa"/>
            <w:tcBorders>
              <w:top w:val="single" w:color="000000" w:sz="6" w:space="0"/>
              <w:left w:val="single" w:color="000000" w:sz="6" w:space="0"/>
              <w:bottom w:val="single" w:color="000000" w:sz="6" w:space="0"/>
              <w:right w:val="single" w:color="000000" w:sz="6" w:space="0"/>
            </w:tcBorders>
          </w:tcPr>
          <w:p>
            <w:pPr>
              <w:spacing w:after="0" w:line="276" w:lineRule="auto"/>
              <w:ind w:left="14" w:right="0" w:firstLine="0"/>
              <w:jc w:val="both"/>
            </w:pPr>
            <w:r>
              <w:t xml:space="preserve">序号 </w:t>
            </w:r>
          </w:p>
        </w:tc>
        <w:tc>
          <w:tcPr>
            <w:tcW w:w="1067"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项目名称 </w:t>
            </w:r>
          </w:p>
        </w:tc>
        <w:tc>
          <w:tcPr>
            <w:tcW w:w="10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合同签订时间 </w:t>
            </w:r>
          </w:p>
        </w:tc>
        <w:tc>
          <w:tcPr>
            <w:tcW w:w="18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服务内容 </w:t>
            </w:r>
          </w:p>
        </w:tc>
        <w:tc>
          <w:tcPr>
            <w:tcW w:w="118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合同总金额 </w:t>
            </w:r>
          </w:p>
        </w:tc>
        <w:tc>
          <w:tcPr>
            <w:tcW w:w="1500" w:type="dxa"/>
            <w:tcBorders>
              <w:top w:val="single" w:color="000000" w:sz="6" w:space="0"/>
              <w:left w:val="single" w:color="000000" w:sz="6" w:space="0"/>
              <w:bottom w:val="single" w:color="000000" w:sz="6" w:space="0"/>
              <w:right w:val="single" w:color="000000" w:sz="6" w:space="0"/>
            </w:tcBorders>
          </w:tcPr>
          <w:p>
            <w:pPr>
              <w:spacing w:line="240" w:lineRule="auto"/>
              <w:ind w:left="29" w:right="0" w:firstLine="0"/>
              <w:jc w:val="both"/>
            </w:pPr>
            <w:r>
              <w:t>项目负责人</w:t>
            </w:r>
          </w:p>
          <w:p>
            <w:pPr>
              <w:spacing w:after="0" w:line="276" w:lineRule="auto"/>
              <w:ind w:left="0" w:right="0" w:firstLine="0"/>
              <w:jc w:val="both"/>
            </w:pPr>
            <w:r>
              <w:t xml:space="preserve">姓名（如有） </w:t>
            </w:r>
          </w:p>
        </w:tc>
        <w:tc>
          <w:tcPr>
            <w:tcW w:w="167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业绩合同甲方及联系电话 </w:t>
            </w:r>
          </w:p>
        </w:tc>
        <w:tc>
          <w:tcPr>
            <w:tcW w:w="591" w:type="dxa"/>
            <w:tcBorders>
              <w:top w:val="single" w:color="000000" w:sz="6" w:space="0"/>
              <w:left w:val="single" w:color="000000" w:sz="6" w:space="0"/>
              <w:bottom w:val="single" w:color="000000" w:sz="6" w:space="0"/>
              <w:right w:val="single" w:color="000000" w:sz="6" w:space="0"/>
            </w:tcBorders>
          </w:tcPr>
          <w:p>
            <w:pPr>
              <w:spacing w:line="240" w:lineRule="auto"/>
              <w:ind w:left="58" w:right="0" w:firstLine="0"/>
              <w:jc w:val="both"/>
            </w:pPr>
            <w:r>
              <w:t>备</w:t>
            </w:r>
          </w:p>
          <w:p>
            <w:pPr>
              <w:spacing w:after="0" w:line="276" w:lineRule="auto"/>
              <w:ind w:left="58" w:right="0" w:firstLine="0"/>
              <w:jc w:val="both"/>
            </w:pPr>
            <w:r>
              <w:t xml:space="preserve">注 </w:t>
            </w:r>
          </w:p>
        </w:tc>
      </w:tr>
      <w:tr>
        <w:tblPrEx>
          <w:tblCellMar>
            <w:top w:w="0" w:type="dxa"/>
            <w:left w:w="108" w:type="dxa"/>
            <w:bottom w:w="0" w:type="dxa"/>
            <w:right w:w="115" w:type="dxa"/>
          </w:tblCellMar>
        </w:tblPrEx>
        <w:trPr>
          <w:trHeight w:val="476" w:hRule="atLeast"/>
        </w:trPr>
        <w:tc>
          <w:tcPr>
            <w:tcW w:w="2812" w:type="dxa"/>
            <w:gridSpan w:val="3"/>
            <w:tcBorders>
              <w:top w:val="single" w:color="000000" w:sz="6" w:space="0"/>
              <w:left w:val="single" w:color="000000" w:sz="6" w:space="0"/>
              <w:bottom w:val="single" w:color="000000" w:sz="6" w:space="0"/>
              <w:right w:val="nil"/>
            </w:tcBorders>
          </w:tcPr>
          <w:p>
            <w:pPr>
              <w:spacing w:after="0" w:line="276" w:lineRule="auto"/>
              <w:ind w:left="0" w:right="0" w:firstLine="0"/>
            </w:pPr>
          </w:p>
        </w:tc>
        <w:tc>
          <w:tcPr>
            <w:tcW w:w="6834" w:type="dxa"/>
            <w:gridSpan w:val="5"/>
            <w:tcBorders>
              <w:top w:val="single" w:color="000000" w:sz="6" w:space="0"/>
              <w:left w:val="nil"/>
              <w:bottom w:val="single" w:color="000000" w:sz="6" w:space="0"/>
              <w:right w:val="single" w:color="000000" w:sz="6" w:space="0"/>
            </w:tcBorders>
          </w:tcPr>
          <w:p>
            <w:pPr>
              <w:spacing w:after="0" w:line="276" w:lineRule="auto"/>
              <w:ind w:left="692" w:right="0" w:firstLine="0"/>
            </w:pPr>
            <w:r>
              <w:t xml:space="preserve">评审业绩 （打分业绩） </w:t>
            </w:r>
          </w:p>
        </w:tc>
      </w:tr>
      <w:tr>
        <w:tblPrEx>
          <w:tblCellMar>
            <w:top w:w="0" w:type="dxa"/>
            <w:left w:w="108" w:type="dxa"/>
            <w:bottom w:w="0" w:type="dxa"/>
            <w:right w:w="115" w:type="dxa"/>
          </w:tblCellMar>
        </w:tblPrEx>
        <w:trPr>
          <w:trHeight w:val="937" w:hRule="atLeast"/>
        </w:trPr>
        <w:tc>
          <w:tcPr>
            <w:tcW w:w="70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p>
        </w:tc>
        <w:tc>
          <w:tcPr>
            <w:tcW w:w="1067"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0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888" w:type="dxa"/>
            <w:tcBorders>
              <w:top w:val="single" w:color="000000" w:sz="6" w:space="0"/>
              <w:left w:val="single" w:color="000000" w:sz="6" w:space="0"/>
              <w:bottom w:val="single" w:color="000000" w:sz="6" w:space="0"/>
              <w:right w:val="single" w:color="000000" w:sz="6" w:space="0"/>
            </w:tcBorders>
          </w:tcPr>
          <w:p>
            <w:pPr>
              <w:spacing w:after="0" w:line="276" w:lineRule="auto"/>
              <w:ind w:left="101" w:right="0" w:firstLine="0"/>
              <w:jc w:val="both"/>
            </w:pPr>
          </w:p>
        </w:tc>
        <w:tc>
          <w:tcPr>
            <w:tcW w:w="118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50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67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59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0" w:type="dxa"/>
            <w:left w:w="108" w:type="dxa"/>
            <w:bottom w:w="0" w:type="dxa"/>
            <w:right w:w="115" w:type="dxa"/>
          </w:tblCellMar>
        </w:tblPrEx>
        <w:trPr>
          <w:trHeight w:val="490" w:hRule="atLeast"/>
        </w:trPr>
        <w:tc>
          <w:tcPr>
            <w:tcW w:w="706" w:type="dxa"/>
            <w:tcBorders>
              <w:top w:val="single" w:color="000000" w:sz="6" w:space="0"/>
              <w:left w:val="single" w:color="000000" w:sz="6" w:space="0"/>
              <w:bottom w:val="single" w:color="000000" w:sz="6" w:space="0"/>
              <w:right w:val="single" w:color="000000" w:sz="6" w:space="0"/>
            </w:tcBorders>
          </w:tcPr>
          <w:p>
            <w:pPr>
              <w:spacing w:after="0" w:line="276" w:lineRule="auto"/>
              <w:ind w:left="14" w:right="0" w:firstLine="0"/>
              <w:jc w:val="both"/>
            </w:pPr>
            <w:r>
              <w:t xml:space="preserve">…… </w:t>
            </w:r>
          </w:p>
        </w:tc>
        <w:tc>
          <w:tcPr>
            <w:tcW w:w="1067"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0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88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18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50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67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59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r>
        <w:tblPrEx>
          <w:tblCellMar>
            <w:top w:w="0" w:type="dxa"/>
            <w:left w:w="108" w:type="dxa"/>
            <w:bottom w:w="0" w:type="dxa"/>
            <w:right w:w="115" w:type="dxa"/>
          </w:tblCellMar>
        </w:tblPrEx>
        <w:trPr>
          <w:trHeight w:val="476" w:hRule="atLeast"/>
        </w:trPr>
        <w:tc>
          <w:tcPr>
            <w:tcW w:w="70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067"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03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888"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18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50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167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c>
          <w:tcPr>
            <w:tcW w:w="59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t xml:space="preserve"> </w:t>
            </w:r>
          </w:p>
        </w:tc>
      </w:tr>
    </w:tbl>
    <w:p>
      <w:pPr>
        <w:spacing w:after="348" w:line="240" w:lineRule="auto"/>
        <w:ind w:left="0" w:right="0" w:firstLine="0"/>
        <w:jc w:val="center"/>
      </w:pPr>
      <w:r>
        <w:rPr>
          <w:sz w:val="27"/>
        </w:rPr>
        <w:t xml:space="preserve"> </w:t>
      </w:r>
    </w:p>
    <w:p>
      <w:pPr>
        <w:spacing w:after="363" w:line="240" w:lineRule="auto"/>
        <w:ind w:left="0" w:right="0" w:firstLine="0"/>
        <w:jc w:val="center"/>
      </w:pPr>
      <w:r>
        <w:rPr>
          <w:sz w:val="27"/>
        </w:rPr>
        <w:t xml:space="preserve"> </w:t>
      </w:r>
    </w:p>
    <w:p>
      <w:pPr>
        <w:spacing w:after="348" w:line="240" w:lineRule="auto"/>
        <w:ind w:left="0" w:right="0" w:firstLine="0"/>
        <w:jc w:val="center"/>
      </w:pPr>
      <w:r>
        <w:rPr>
          <w:sz w:val="27"/>
        </w:rPr>
        <w:t xml:space="preserve"> </w:t>
      </w:r>
    </w:p>
    <w:p>
      <w:pPr>
        <w:spacing w:after="359"/>
        <w:ind w:left="10"/>
        <w:jc w:val="center"/>
      </w:pPr>
      <w:r>
        <w:rPr>
          <w:sz w:val="27"/>
        </w:rPr>
        <w:t xml:space="preserve">（二）业绩证明材料 </w:t>
      </w:r>
    </w:p>
    <w:p>
      <w:pPr>
        <w:spacing w:after="305"/>
        <w:ind w:left="10" w:right="1625"/>
        <w:jc w:val="right"/>
      </w:pPr>
      <w:r>
        <w:t xml:space="preserve">（建议与上述“（一）业绩表”填写的业绩一一对应提供） </w:t>
      </w:r>
    </w:p>
    <w:p>
      <w:pPr>
        <w:spacing w:after="305" w:line="240" w:lineRule="auto"/>
        <w:ind w:left="0" w:right="0" w:firstLine="0"/>
        <w:jc w:val="center"/>
      </w:pPr>
      <w:r>
        <w:t xml:space="preserve"> </w:t>
      </w:r>
    </w:p>
    <w:p>
      <w:pPr>
        <w:spacing w:after="305" w:line="240" w:lineRule="auto"/>
        <w:ind w:left="0" w:right="0" w:firstLine="0"/>
        <w:jc w:val="center"/>
      </w:pPr>
      <w:r>
        <w:t xml:space="preserve"> </w:t>
      </w:r>
    </w:p>
    <w:p>
      <w:pPr>
        <w:spacing w:after="320" w:line="240" w:lineRule="auto"/>
        <w:ind w:left="0" w:right="0" w:firstLine="0"/>
        <w:jc w:val="center"/>
      </w:pPr>
      <w:r>
        <w:t xml:space="preserve"> </w:t>
      </w:r>
    </w:p>
    <w:p>
      <w:pPr>
        <w:spacing w:after="305" w:line="240" w:lineRule="auto"/>
        <w:ind w:left="0" w:right="0" w:firstLine="0"/>
        <w:jc w:val="center"/>
      </w:pPr>
      <w:r>
        <w:t xml:space="preserve"> </w:t>
      </w:r>
    </w:p>
    <w:p>
      <w:pPr>
        <w:spacing w:after="305" w:line="240" w:lineRule="auto"/>
        <w:ind w:left="0" w:right="0" w:firstLine="0"/>
        <w:jc w:val="center"/>
      </w:pPr>
      <w:r>
        <w:t xml:space="preserve"> </w:t>
      </w:r>
    </w:p>
    <w:p>
      <w:pPr>
        <w:spacing w:after="305" w:line="240" w:lineRule="auto"/>
        <w:ind w:left="0" w:right="0" w:firstLine="0"/>
        <w:jc w:val="center"/>
      </w:pPr>
      <w:r>
        <w:t xml:space="preserve"> </w:t>
      </w:r>
    </w:p>
    <w:p>
      <w:pPr>
        <w:spacing w:after="309" w:line="240" w:lineRule="auto"/>
        <w:ind w:left="0" w:right="0" w:firstLine="0"/>
        <w:jc w:val="center"/>
      </w:pPr>
      <w:r>
        <w:t xml:space="preserve"> </w:t>
      </w:r>
    </w:p>
    <w:p>
      <w:pPr>
        <w:spacing w:after="305" w:line="240" w:lineRule="auto"/>
        <w:ind w:left="187" w:right="0" w:firstLine="0"/>
      </w:pPr>
      <w:r>
        <w:rPr>
          <w:sz w:val="27"/>
        </w:rPr>
        <w:t xml:space="preserve"> </w:t>
      </w:r>
    </w:p>
    <w:p>
      <w:pPr>
        <w:spacing w:after="0" w:line="240" w:lineRule="auto"/>
        <w:ind w:left="187" w:right="0" w:firstLine="0"/>
      </w:pPr>
      <w:r>
        <w:rPr>
          <w:sz w:val="27"/>
        </w:rPr>
        <w:t xml:space="preserve"> </w:t>
      </w:r>
    </w:p>
    <w:p>
      <w:pPr>
        <w:pStyle w:val="3"/>
      </w:pPr>
      <w:bookmarkStart w:id="17" w:name="_Toc87528839"/>
      <w:r>
        <w:t>七．拟投入本项目的人员情况</w:t>
      </w:r>
      <w:bookmarkEnd w:id="17"/>
      <w:r>
        <w:t xml:space="preserve"> </w:t>
      </w:r>
    </w:p>
    <w:p>
      <w:pPr>
        <w:ind w:left="673"/>
      </w:pPr>
      <w:r>
        <w:t>投标人可自行制作格式，应能体现出所有招标文件要求的内容，并附相关证明材料（扫</w:t>
      </w:r>
    </w:p>
    <w:p>
      <w:r>
        <w:t xml:space="preserve">描件），下列格式仅供参考。 </w:t>
      </w:r>
    </w:p>
    <w:p>
      <w:pPr>
        <w:ind w:left="673"/>
      </w:pPr>
      <w:r>
        <w:t xml:space="preserve">（一）拟委任的主要人员汇总表 </w:t>
      </w:r>
    </w:p>
    <w:tbl>
      <w:tblPr>
        <w:tblStyle w:val="11"/>
        <w:tblW w:w="8305" w:type="dxa"/>
        <w:tblInd w:w="742" w:type="dxa"/>
        <w:tblLayout w:type="autofit"/>
        <w:tblCellMar>
          <w:top w:w="146" w:type="dxa"/>
          <w:left w:w="94" w:type="dxa"/>
          <w:bottom w:w="0" w:type="dxa"/>
          <w:right w:w="54" w:type="dxa"/>
        </w:tblCellMar>
      </w:tblPr>
      <w:tblGrid>
        <w:gridCol w:w="750"/>
        <w:gridCol w:w="1399"/>
        <w:gridCol w:w="966"/>
        <w:gridCol w:w="692"/>
        <w:gridCol w:w="735"/>
        <w:gridCol w:w="1110"/>
        <w:gridCol w:w="721"/>
        <w:gridCol w:w="1139"/>
        <w:gridCol w:w="793"/>
      </w:tblGrid>
      <w:tr>
        <w:tblPrEx>
          <w:tblCellMar>
            <w:top w:w="146" w:type="dxa"/>
            <w:left w:w="94" w:type="dxa"/>
            <w:bottom w:w="0" w:type="dxa"/>
            <w:right w:w="54" w:type="dxa"/>
          </w:tblCellMar>
        </w:tblPrEx>
        <w:trPr>
          <w:trHeight w:val="461" w:hRule="atLeast"/>
        </w:trPr>
        <w:tc>
          <w:tcPr>
            <w:tcW w:w="750" w:type="dxa"/>
            <w:tcBorders>
              <w:top w:val="single" w:color="000000" w:sz="6" w:space="0"/>
              <w:left w:val="single" w:color="000000" w:sz="6" w:space="0"/>
              <w:bottom w:val="single" w:color="000000" w:sz="6" w:space="0"/>
              <w:right w:val="single" w:color="000000" w:sz="6" w:space="0"/>
            </w:tcBorders>
          </w:tcPr>
          <w:p>
            <w:pPr>
              <w:spacing w:after="0" w:line="276" w:lineRule="auto"/>
              <w:ind w:left="73" w:right="0" w:firstLine="0"/>
            </w:pPr>
            <w:r>
              <w:rPr>
                <w:sz w:val="22"/>
              </w:rPr>
              <w:t>序号</w:t>
            </w:r>
            <w:r>
              <w:rPr>
                <w:rFonts w:ascii="Times New Roman" w:hAnsi="Times New Roman" w:eastAsia="Times New Roman" w:cs="Times New Roman"/>
                <w:sz w:val="22"/>
              </w:rPr>
              <w:t xml:space="preserve"> </w:t>
            </w:r>
          </w:p>
        </w:tc>
        <w:tc>
          <w:tcPr>
            <w:tcW w:w="1399" w:type="dxa"/>
            <w:tcBorders>
              <w:top w:val="single" w:color="000000" w:sz="6" w:space="0"/>
              <w:left w:val="single" w:color="000000" w:sz="6" w:space="0"/>
              <w:bottom w:val="single" w:color="000000" w:sz="6" w:space="0"/>
              <w:right w:val="single" w:color="000000" w:sz="6" w:space="0"/>
            </w:tcBorders>
          </w:tcPr>
          <w:p>
            <w:pPr>
              <w:spacing w:after="0" w:line="276" w:lineRule="auto"/>
              <w:ind w:left="72" w:right="0" w:firstLine="0"/>
              <w:jc w:val="both"/>
            </w:pPr>
            <w:r>
              <w:rPr>
                <w:sz w:val="22"/>
              </w:rPr>
              <w:t>本项目任职</w:t>
            </w: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173" w:right="0" w:firstLine="0"/>
            </w:pPr>
            <w:r>
              <w:rPr>
                <w:sz w:val="22"/>
              </w:rPr>
              <w:t>姓名</w:t>
            </w:r>
            <w:r>
              <w:rPr>
                <w:rFonts w:ascii="Times New Roman" w:hAnsi="Times New Roman" w:eastAsia="Times New Roman" w:cs="Times New Roman"/>
                <w:sz w:val="22"/>
              </w:rPr>
              <w:t xml:space="preserve"> </w:t>
            </w:r>
          </w:p>
        </w:tc>
        <w:tc>
          <w:tcPr>
            <w:tcW w:w="692" w:type="dxa"/>
            <w:tcBorders>
              <w:top w:val="single" w:color="000000" w:sz="6" w:space="0"/>
              <w:left w:val="single" w:color="000000" w:sz="6" w:space="0"/>
              <w:bottom w:val="single" w:color="000000" w:sz="6" w:space="0"/>
              <w:right w:val="single" w:color="000000" w:sz="6" w:space="0"/>
            </w:tcBorders>
          </w:tcPr>
          <w:p>
            <w:pPr>
              <w:spacing w:after="0" w:line="276" w:lineRule="auto"/>
              <w:ind w:left="29" w:right="0" w:firstLine="0"/>
              <w:jc w:val="both"/>
            </w:pPr>
            <w:r>
              <w:rPr>
                <w:sz w:val="22"/>
              </w:rPr>
              <w:t>职称</w:t>
            </w:r>
            <w:r>
              <w:rPr>
                <w:rFonts w:ascii="Times New Roman" w:hAnsi="Times New Roman" w:eastAsia="Times New Roman" w:cs="Times New Roman"/>
                <w:sz w:val="22"/>
              </w:rPr>
              <w:t xml:space="preserve"> </w:t>
            </w:r>
          </w:p>
        </w:tc>
        <w:tc>
          <w:tcPr>
            <w:tcW w:w="735" w:type="dxa"/>
            <w:tcBorders>
              <w:top w:val="single" w:color="000000" w:sz="6" w:space="0"/>
              <w:left w:val="single" w:color="000000" w:sz="6" w:space="0"/>
              <w:bottom w:val="single" w:color="000000" w:sz="6" w:space="0"/>
              <w:right w:val="single" w:color="000000" w:sz="6" w:space="0"/>
            </w:tcBorders>
          </w:tcPr>
          <w:p>
            <w:pPr>
              <w:spacing w:after="0" w:line="276" w:lineRule="auto"/>
              <w:ind w:left="58" w:right="0" w:firstLine="0"/>
              <w:jc w:val="both"/>
            </w:pPr>
            <w:r>
              <w:rPr>
                <w:sz w:val="22"/>
              </w:rPr>
              <w:t>专业</w:t>
            </w:r>
            <w:r>
              <w:rPr>
                <w:rFonts w:ascii="Times New Roman" w:hAnsi="Times New Roman" w:eastAsia="Times New Roman" w:cs="Times New Roman"/>
                <w:sz w:val="22"/>
              </w:rPr>
              <w:t xml:space="preserve"> </w:t>
            </w:r>
          </w:p>
        </w:tc>
        <w:tc>
          <w:tcPr>
            <w:tcW w:w="2970" w:type="dxa"/>
            <w:gridSpan w:val="3"/>
            <w:tcBorders>
              <w:top w:val="single" w:color="000000" w:sz="6" w:space="0"/>
              <w:left w:val="single" w:color="000000" w:sz="6" w:space="0"/>
              <w:bottom w:val="single" w:color="000000" w:sz="6" w:space="0"/>
              <w:right w:val="single" w:color="000000" w:sz="6" w:space="0"/>
            </w:tcBorders>
          </w:tcPr>
          <w:p>
            <w:pPr>
              <w:spacing w:after="0" w:line="276" w:lineRule="auto"/>
              <w:ind w:left="15" w:right="0" w:firstLine="0"/>
              <w:jc w:val="both"/>
            </w:pPr>
            <w:r>
              <w:rPr>
                <w:sz w:val="22"/>
              </w:rPr>
              <w:t>执业或职业资格证明（如有）</w:t>
            </w:r>
            <w:r>
              <w:rPr>
                <w:rFonts w:ascii="Times New Roman" w:hAnsi="Times New Roman" w:eastAsia="Times New Roman" w:cs="Times New Roman"/>
                <w:sz w:val="22"/>
              </w:rPr>
              <w:t xml:space="preserve"> </w:t>
            </w:r>
          </w:p>
        </w:tc>
        <w:tc>
          <w:tcPr>
            <w:tcW w:w="793" w:type="dxa"/>
            <w:tcBorders>
              <w:top w:val="single" w:color="000000" w:sz="6" w:space="0"/>
              <w:left w:val="single" w:color="000000" w:sz="6" w:space="0"/>
              <w:bottom w:val="single" w:color="000000" w:sz="6" w:space="0"/>
              <w:right w:val="single" w:color="000000" w:sz="6" w:space="0"/>
            </w:tcBorders>
          </w:tcPr>
          <w:p>
            <w:pPr>
              <w:spacing w:after="0" w:line="276" w:lineRule="auto"/>
              <w:ind w:left="86" w:right="0" w:firstLine="0"/>
            </w:pPr>
            <w:r>
              <w:rPr>
                <w:sz w:val="22"/>
              </w:rPr>
              <w:t>备注</w:t>
            </w:r>
            <w:r>
              <w:rPr>
                <w:rFonts w:ascii="Times New Roman" w:hAnsi="Times New Roman" w:eastAsia="Times New Roman" w:cs="Times New Roman"/>
                <w:sz w:val="22"/>
              </w:rPr>
              <w:t xml:space="preserve"> </w:t>
            </w:r>
          </w:p>
        </w:tc>
      </w:tr>
      <w:tr>
        <w:tblPrEx>
          <w:tblCellMar>
            <w:top w:w="146" w:type="dxa"/>
            <w:left w:w="94" w:type="dxa"/>
            <w:bottom w:w="0" w:type="dxa"/>
            <w:right w:w="54" w:type="dxa"/>
          </w:tblCellMar>
        </w:tblPrEx>
        <w:trPr>
          <w:trHeight w:val="649" w:hRule="atLeast"/>
        </w:trPr>
        <w:tc>
          <w:tcPr>
            <w:tcW w:w="750"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5" w:right="0" w:firstLine="0"/>
            </w:pPr>
            <w:r>
              <w:rPr>
                <w:rFonts w:ascii="Times New Roman" w:hAnsi="Times New Roman" w:eastAsia="Times New Roman" w:cs="Times New Roman"/>
                <w:sz w:val="22"/>
              </w:rPr>
              <w:t xml:space="preserve"> </w:t>
            </w:r>
          </w:p>
        </w:tc>
        <w:tc>
          <w:tcPr>
            <w:tcW w:w="1399" w:type="dxa"/>
            <w:tcBorders>
              <w:top w:val="single" w:color="000000" w:sz="6" w:space="0"/>
              <w:left w:val="single" w:color="000000" w:sz="6" w:space="0"/>
              <w:bottom w:val="single" w:color="000000" w:sz="6" w:space="0"/>
              <w:right w:val="single" w:color="000000" w:sz="6" w:space="0"/>
            </w:tcBorders>
          </w:tcPr>
          <w:p>
            <w:pPr>
              <w:spacing w:after="0" w:line="276" w:lineRule="auto"/>
              <w:ind w:left="14" w:right="0" w:firstLine="0"/>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rPr>
                <w:rFonts w:ascii="Times New Roman" w:hAnsi="Times New Roman" w:eastAsia="Times New Roman" w:cs="Times New Roman"/>
                <w:sz w:val="22"/>
              </w:rPr>
              <w:t xml:space="preserve"> </w:t>
            </w:r>
          </w:p>
        </w:tc>
        <w:tc>
          <w:tcPr>
            <w:tcW w:w="69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rPr>
                <w:rFonts w:ascii="Times New Roman" w:hAnsi="Times New Roman" w:eastAsia="Times New Roman" w:cs="Times New Roman"/>
                <w:sz w:val="22"/>
              </w:rPr>
              <w:t xml:space="preserve"> </w:t>
            </w:r>
          </w:p>
        </w:tc>
        <w:tc>
          <w:tcPr>
            <w:tcW w:w="735"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 </w:t>
            </w:r>
          </w:p>
        </w:tc>
        <w:tc>
          <w:tcPr>
            <w:tcW w:w="1110"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29" w:right="0" w:firstLine="0"/>
              <w:jc w:val="both"/>
            </w:pPr>
            <w:r>
              <w:rPr>
                <w:sz w:val="22"/>
              </w:rPr>
              <w:t>证书名称</w:t>
            </w:r>
            <w:r>
              <w:rPr>
                <w:rFonts w:ascii="Times New Roman" w:hAnsi="Times New Roman" w:eastAsia="Times New Roman" w:cs="Times New Roman"/>
                <w:sz w:val="22"/>
              </w:rPr>
              <w:t xml:space="preserve"> </w:t>
            </w:r>
          </w:p>
        </w:tc>
        <w:tc>
          <w:tcPr>
            <w:tcW w:w="721"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44" w:right="0" w:firstLine="0"/>
              <w:jc w:val="both"/>
            </w:pPr>
            <w:r>
              <w:rPr>
                <w:sz w:val="22"/>
              </w:rPr>
              <w:t>级别</w:t>
            </w:r>
            <w:r>
              <w:rPr>
                <w:rFonts w:ascii="Times New Roman" w:hAnsi="Times New Roman" w:eastAsia="Times New Roman" w:cs="Times New Roman"/>
                <w:sz w:val="22"/>
              </w:rPr>
              <w:t xml:space="preserve"> </w:t>
            </w:r>
          </w:p>
        </w:tc>
        <w:tc>
          <w:tcPr>
            <w:tcW w:w="113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sz w:val="22"/>
              </w:rPr>
              <w:t>证号</w:t>
            </w:r>
            <w:r>
              <w:rPr>
                <w:rFonts w:ascii="Times New Roman" w:hAnsi="Times New Roman" w:eastAsia="Times New Roman" w:cs="Times New Roman"/>
                <w:sz w:val="22"/>
              </w:rPr>
              <w:t xml:space="preserve"> </w:t>
            </w:r>
          </w:p>
        </w:tc>
        <w:tc>
          <w:tcPr>
            <w:tcW w:w="79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6" w:type="dxa"/>
            <w:left w:w="94" w:type="dxa"/>
            <w:bottom w:w="0" w:type="dxa"/>
            <w:right w:w="54" w:type="dxa"/>
          </w:tblCellMar>
        </w:tblPrEx>
        <w:trPr>
          <w:trHeight w:val="447" w:hRule="atLeast"/>
        </w:trPr>
        <w:tc>
          <w:tcPr>
            <w:tcW w:w="75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39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69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3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1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2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3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9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6" w:type="dxa"/>
            <w:left w:w="94" w:type="dxa"/>
            <w:bottom w:w="0" w:type="dxa"/>
            <w:right w:w="54" w:type="dxa"/>
          </w:tblCellMar>
        </w:tblPrEx>
        <w:trPr>
          <w:trHeight w:val="447" w:hRule="atLeast"/>
        </w:trPr>
        <w:tc>
          <w:tcPr>
            <w:tcW w:w="750"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1399"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692"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735"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1110"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721"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1139"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793"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6" w:type="dxa"/>
            <w:left w:w="94" w:type="dxa"/>
            <w:bottom w:w="0" w:type="dxa"/>
            <w:right w:w="54" w:type="dxa"/>
          </w:tblCellMar>
        </w:tblPrEx>
        <w:trPr>
          <w:trHeight w:val="461" w:hRule="atLeast"/>
        </w:trPr>
        <w:tc>
          <w:tcPr>
            <w:tcW w:w="75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39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69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3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1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2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3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9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6" w:type="dxa"/>
            <w:left w:w="94" w:type="dxa"/>
            <w:bottom w:w="0" w:type="dxa"/>
            <w:right w:w="54" w:type="dxa"/>
          </w:tblCellMar>
        </w:tblPrEx>
        <w:trPr>
          <w:trHeight w:val="446" w:hRule="atLeast"/>
        </w:trPr>
        <w:tc>
          <w:tcPr>
            <w:tcW w:w="75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39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69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3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1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2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3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9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6" w:type="dxa"/>
            <w:left w:w="94" w:type="dxa"/>
            <w:bottom w:w="0" w:type="dxa"/>
            <w:right w:w="54" w:type="dxa"/>
          </w:tblCellMar>
        </w:tblPrEx>
        <w:trPr>
          <w:trHeight w:val="447" w:hRule="atLeast"/>
        </w:trPr>
        <w:tc>
          <w:tcPr>
            <w:tcW w:w="75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39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69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3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1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2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3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9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6" w:type="dxa"/>
            <w:left w:w="94" w:type="dxa"/>
            <w:bottom w:w="0" w:type="dxa"/>
            <w:right w:w="54" w:type="dxa"/>
          </w:tblCellMar>
        </w:tblPrEx>
        <w:trPr>
          <w:trHeight w:val="447" w:hRule="atLeast"/>
        </w:trPr>
        <w:tc>
          <w:tcPr>
            <w:tcW w:w="750"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1399"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692"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735"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1110"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721"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1139"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793"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6" w:type="dxa"/>
            <w:left w:w="94" w:type="dxa"/>
            <w:bottom w:w="0" w:type="dxa"/>
            <w:right w:w="54" w:type="dxa"/>
          </w:tblCellMar>
        </w:tblPrEx>
        <w:trPr>
          <w:trHeight w:val="461" w:hRule="atLeast"/>
        </w:trPr>
        <w:tc>
          <w:tcPr>
            <w:tcW w:w="75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39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69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3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1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2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3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9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6" w:type="dxa"/>
            <w:left w:w="94" w:type="dxa"/>
            <w:bottom w:w="0" w:type="dxa"/>
            <w:right w:w="54" w:type="dxa"/>
          </w:tblCellMar>
        </w:tblPrEx>
        <w:trPr>
          <w:trHeight w:val="432" w:hRule="atLeast"/>
        </w:trPr>
        <w:tc>
          <w:tcPr>
            <w:tcW w:w="75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39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692"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35"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10"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21"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1139"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c>
          <w:tcPr>
            <w:tcW w:w="793"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jc w:val="center"/>
            </w:pPr>
            <w:r>
              <w:rPr>
                <w:rFonts w:ascii="Times New Roman" w:hAnsi="Times New Roman" w:eastAsia="Times New Roman" w:cs="Times New Roman"/>
                <w:sz w:val="22"/>
              </w:rPr>
              <w:t xml:space="preserve"> </w:t>
            </w:r>
          </w:p>
        </w:tc>
      </w:tr>
    </w:tbl>
    <w:p>
      <w:pPr>
        <w:spacing w:after="0" w:line="240" w:lineRule="auto"/>
        <w:ind w:left="187" w:right="0" w:firstLine="0"/>
      </w:pPr>
      <w:r>
        <w:t xml:space="preserve"> </w:t>
      </w:r>
    </w:p>
    <w:p>
      <w:r>
        <w:t xml:space="preserve">（二）主要人员简历表 </w:t>
      </w:r>
    </w:p>
    <w:p>
      <w:pPr>
        <w:spacing w:after="45" w:line="276" w:lineRule="auto"/>
        <w:ind w:left="4902" w:right="0" w:firstLine="0"/>
      </w:pPr>
      <w:r>
        <w:rPr>
          <w:rFonts w:ascii="Times New Roman" w:hAnsi="Times New Roman" w:eastAsia="Times New Roman" w:cs="Times New Roman"/>
          <w:sz w:val="22"/>
        </w:rPr>
        <w:t xml:space="preserve"> </w:t>
      </w:r>
      <w:r>
        <w:rPr>
          <w:rFonts w:ascii="Times New Roman" w:hAnsi="Times New Roman" w:eastAsia="Times New Roman" w:cs="Times New Roman"/>
          <w:sz w:val="23"/>
        </w:rPr>
        <w:t xml:space="preserve"> </w:t>
      </w:r>
    </w:p>
    <w:tbl>
      <w:tblPr>
        <w:tblStyle w:val="11"/>
        <w:tblW w:w="8521" w:type="dxa"/>
        <w:tblInd w:w="627" w:type="dxa"/>
        <w:tblLayout w:type="autofit"/>
        <w:tblCellMar>
          <w:top w:w="147" w:type="dxa"/>
          <w:left w:w="108" w:type="dxa"/>
          <w:bottom w:w="0" w:type="dxa"/>
          <w:right w:w="126" w:type="dxa"/>
        </w:tblCellMar>
      </w:tblPr>
      <w:tblGrid>
        <w:gridCol w:w="1197"/>
        <w:gridCol w:w="346"/>
        <w:gridCol w:w="692"/>
        <w:gridCol w:w="966"/>
        <w:gridCol w:w="1067"/>
        <w:gridCol w:w="706"/>
        <w:gridCol w:w="1254"/>
        <w:gridCol w:w="404"/>
        <w:gridCol w:w="1889"/>
      </w:tblGrid>
      <w:tr>
        <w:tblPrEx>
          <w:tblCellMar>
            <w:top w:w="147" w:type="dxa"/>
            <w:left w:w="108" w:type="dxa"/>
            <w:bottom w:w="0" w:type="dxa"/>
            <w:right w:w="126" w:type="dxa"/>
          </w:tblCellMar>
        </w:tblPrEx>
        <w:trPr>
          <w:trHeight w:val="893" w:hRule="atLeast"/>
        </w:trPr>
        <w:tc>
          <w:tcPr>
            <w:tcW w:w="119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sz w:val="22"/>
              </w:rPr>
              <w:t>姓</w:t>
            </w:r>
            <w:r>
              <w:rPr>
                <w:rFonts w:ascii="Times New Roman" w:hAnsi="Times New Roman" w:eastAsia="Times New Roman" w:cs="Times New Roman"/>
                <w:sz w:val="22"/>
              </w:rPr>
              <w:t xml:space="preserve">  </w:t>
            </w:r>
            <w:r>
              <w:rPr>
                <w:sz w:val="22"/>
              </w:rPr>
              <w:t>名</w:t>
            </w:r>
            <w:r>
              <w:rPr>
                <w:rFonts w:ascii="Times New Roman" w:hAnsi="Times New Roman" w:eastAsia="Times New Roman" w:cs="Times New Roman"/>
                <w:sz w:val="22"/>
              </w:rPr>
              <w:t xml:space="preserve"> </w:t>
            </w:r>
          </w:p>
        </w:tc>
        <w:tc>
          <w:tcPr>
            <w:tcW w:w="1038" w:type="dxa"/>
            <w:gridSpan w:val="2"/>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44" w:right="0" w:firstLine="0"/>
            </w:pPr>
            <w:r>
              <w:rPr>
                <w:sz w:val="22"/>
              </w:rPr>
              <w:t>年龄</w:t>
            </w:r>
            <w:r>
              <w:rPr>
                <w:rFonts w:ascii="Times New Roman" w:hAnsi="Times New Roman" w:eastAsia="Times New Roman" w:cs="Times New Roman"/>
                <w:sz w:val="22"/>
              </w:rPr>
              <w:t xml:space="preserve"> </w:t>
            </w:r>
          </w:p>
        </w:tc>
        <w:tc>
          <w:tcPr>
            <w:tcW w:w="1067"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 </w:t>
            </w:r>
          </w:p>
        </w:tc>
        <w:tc>
          <w:tcPr>
            <w:tcW w:w="2364" w:type="dxa"/>
            <w:gridSpan w:val="3"/>
            <w:tcBorders>
              <w:top w:val="single" w:color="000000" w:sz="6" w:space="0"/>
              <w:left w:val="single" w:color="000000" w:sz="6" w:space="0"/>
              <w:bottom w:val="single" w:color="000000" w:sz="6" w:space="0"/>
              <w:right w:val="single" w:color="000000" w:sz="6" w:space="0"/>
            </w:tcBorders>
          </w:tcPr>
          <w:p>
            <w:pPr>
              <w:spacing w:line="240" w:lineRule="auto"/>
              <w:ind w:left="0" w:right="0" w:firstLine="0"/>
              <w:jc w:val="both"/>
            </w:pPr>
            <w:r>
              <w:rPr>
                <w:sz w:val="22"/>
              </w:rPr>
              <w:t>执业资格证书（或上岗</w:t>
            </w:r>
          </w:p>
          <w:p>
            <w:pPr>
              <w:spacing w:after="0" w:line="276" w:lineRule="auto"/>
              <w:ind w:left="0" w:right="0" w:firstLine="0"/>
              <w:jc w:val="both"/>
            </w:pPr>
            <w:r>
              <w:rPr>
                <w:sz w:val="22"/>
              </w:rPr>
              <w:t>证书）名称（如有要求）</w:t>
            </w:r>
            <w:r>
              <w:rPr>
                <w:rFonts w:ascii="Times New Roman" w:hAnsi="Times New Roman" w:eastAsia="Times New Roman" w:cs="Times New Roman"/>
                <w:sz w:val="22"/>
              </w:rPr>
              <w:t xml:space="preserve"> </w:t>
            </w:r>
          </w:p>
        </w:tc>
        <w:tc>
          <w:tcPr>
            <w:tcW w:w="1889"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7" w:type="dxa"/>
            <w:left w:w="108" w:type="dxa"/>
            <w:bottom w:w="0" w:type="dxa"/>
            <w:right w:w="126" w:type="dxa"/>
          </w:tblCellMar>
        </w:tblPrEx>
        <w:trPr>
          <w:trHeight w:val="649" w:hRule="atLeast"/>
        </w:trPr>
        <w:tc>
          <w:tcPr>
            <w:tcW w:w="1197"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sz w:val="22"/>
              </w:rPr>
              <w:t>职</w:t>
            </w:r>
            <w:r>
              <w:rPr>
                <w:rFonts w:ascii="Times New Roman" w:hAnsi="Times New Roman" w:eastAsia="Times New Roman" w:cs="Times New Roman"/>
                <w:sz w:val="22"/>
              </w:rPr>
              <w:t xml:space="preserve">  </w:t>
            </w:r>
            <w:r>
              <w:rPr>
                <w:sz w:val="22"/>
              </w:rPr>
              <w:t>称</w:t>
            </w:r>
            <w:r>
              <w:rPr>
                <w:rFonts w:ascii="Times New Roman" w:hAnsi="Times New Roman" w:eastAsia="Times New Roman" w:cs="Times New Roman"/>
                <w:sz w:val="22"/>
              </w:rPr>
              <w:t xml:space="preserve"> </w:t>
            </w:r>
          </w:p>
        </w:tc>
        <w:tc>
          <w:tcPr>
            <w:tcW w:w="1038" w:type="dxa"/>
            <w:gridSpan w:val="2"/>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966"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144" w:right="0" w:firstLine="0"/>
            </w:pPr>
            <w:r>
              <w:rPr>
                <w:sz w:val="22"/>
              </w:rPr>
              <w:t>学历</w:t>
            </w:r>
            <w:r>
              <w:rPr>
                <w:rFonts w:ascii="Times New Roman" w:hAnsi="Times New Roman" w:eastAsia="Times New Roman" w:cs="Times New Roman"/>
                <w:sz w:val="22"/>
              </w:rPr>
              <w:t xml:space="preserve"> </w:t>
            </w:r>
          </w:p>
        </w:tc>
        <w:tc>
          <w:tcPr>
            <w:tcW w:w="1067"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c>
          <w:tcPr>
            <w:tcW w:w="2364" w:type="dxa"/>
            <w:gridSpan w:val="3"/>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sz w:val="22"/>
              </w:rPr>
              <w:t>拟在本项目任职</w:t>
            </w:r>
            <w:r>
              <w:rPr>
                <w:rFonts w:ascii="Times New Roman" w:hAnsi="Times New Roman" w:eastAsia="Times New Roman" w:cs="Times New Roman"/>
                <w:sz w:val="22"/>
              </w:rPr>
              <w:t xml:space="preserve"> </w:t>
            </w:r>
          </w:p>
        </w:tc>
        <w:tc>
          <w:tcPr>
            <w:tcW w:w="1889"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7" w:type="dxa"/>
            <w:left w:w="108" w:type="dxa"/>
            <w:bottom w:w="0" w:type="dxa"/>
            <w:right w:w="126" w:type="dxa"/>
          </w:tblCellMar>
        </w:tblPrEx>
        <w:trPr>
          <w:trHeight w:val="649" w:hRule="atLeast"/>
        </w:trPr>
        <w:tc>
          <w:tcPr>
            <w:tcW w:w="1197"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43" w:right="0" w:firstLine="0"/>
              <w:jc w:val="both"/>
            </w:pPr>
            <w:r>
              <w:rPr>
                <w:sz w:val="22"/>
              </w:rPr>
              <w:t>工作年限</w:t>
            </w:r>
            <w:r>
              <w:rPr>
                <w:rFonts w:ascii="Times New Roman" w:hAnsi="Times New Roman" w:eastAsia="Times New Roman" w:cs="Times New Roman"/>
                <w:sz w:val="22"/>
              </w:rPr>
              <w:t xml:space="preserve"> </w:t>
            </w:r>
          </w:p>
        </w:tc>
        <w:tc>
          <w:tcPr>
            <w:tcW w:w="7324" w:type="dxa"/>
            <w:gridSpan w:val="8"/>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jc w:val="center"/>
            </w:pPr>
            <w:r>
              <w:rPr>
                <w:rFonts w:ascii="Times New Roman" w:hAnsi="Times New Roman" w:eastAsia="Times New Roman" w:cs="Times New Roman"/>
                <w:sz w:val="22"/>
              </w:rPr>
              <w:t xml:space="preserve"> </w:t>
            </w:r>
          </w:p>
        </w:tc>
      </w:tr>
      <w:tr>
        <w:tblPrEx>
          <w:tblCellMar>
            <w:top w:w="147" w:type="dxa"/>
            <w:left w:w="108" w:type="dxa"/>
            <w:bottom w:w="0" w:type="dxa"/>
            <w:right w:w="126" w:type="dxa"/>
          </w:tblCellMar>
        </w:tblPrEx>
        <w:trPr>
          <w:trHeight w:val="648" w:hRule="atLeast"/>
        </w:trPr>
        <w:tc>
          <w:tcPr>
            <w:tcW w:w="1197"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43" w:right="0" w:firstLine="0"/>
              <w:jc w:val="both"/>
            </w:pPr>
            <w:r>
              <w:rPr>
                <w:sz w:val="22"/>
              </w:rPr>
              <w:t>毕业学校</w:t>
            </w:r>
            <w:r>
              <w:rPr>
                <w:rFonts w:ascii="Times New Roman" w:hAnsi="Times New Roman" w:eastAsia="Times New Roman" w:cs="Times New Roman"/>
                <w:sz w:val="22"/>
              </w:rPr>
              <w:t xml:space="preserve"> </w:t>
            </w:r>
          </w:p>
        </w:tc>
        <w:tc>
          <w:tcPr>
            <w:tcW w:w="7324" w:type="dxa"/>
            <w:gridSpan w:val="8"/>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1154" w:right="0" w:firstLine="0"/>
            </w:pPr>
            <w:r>
              <w:rPr>
                <w:sz w:val="22"/>
              </w:rPr>
              <w:t>年毕业于</w:t>
            </w:r>
            <w:r>
              <w:rPr>
                <w:rFonts w:ascii="Times New Roman" w:hAnsi="Times New Roman" w:eastAsia="Times New Roman" w:cs="Times New Roman"/>
                <w:sz w:val="22"/>
              </w:rPr>
              <w:t xml:space="preserve">            </w:t>
            </w:r>
            <w:r>
              <w:rPr>
                <w:sz w:val="22"/>
              </w:rPr>
              <w:t>学校</w:t>
            </w:r>
            <w:r>
              <w:rPr>
                <w:rFonts w:ascii="Times New Roman" w:hAnsi="Times New Roman" w:eastAsia="Times New Roman" w:cs="Times New Roman"/>
                <w:sz w:val="22"/>
              </w:rPr>
              <w:t xml:space="preserve">        </w:t>
            </w:r>
            <w:r>
              <w:rPr>
                <w:sz w:val="22"/>
              </w:rPr>
              <w:t>专业</w:t>
            </w:r>
            <w:r>
              <w:rPr>
                <w:rFonts w:ascii="Times New Roman" w:hAnsi="Times New Roman" w:eastAsia="Times New Roman" w:cs="Times New Roman"/>
                <w:sz w:val="22"/>
              </w:rPr>
              <w:t xml:space="preserve"> </w:t>
            </w:r>
          </w:p>
        </w:tc>
      </w:tr>
      <w:tr>
        <w:tblPrEx>
          <w:tblCellMar>
            <w:top w:w="147" w:type="dxa"/>
            <w:left w:w="108" w:type="dxa"/>
            <w:bottom w:w="0" w:type="dxa"/>
            <w:right w:w="126" w:type="dxa"/>
          </w:tblCellMar>
        </w:tblPrEx>
        <w:trPr>
          <w:trHeight w:val="649" w:hRule="atLeast"/>
        </w:trPr>
        <w:tc>
          <w:tcPr>
            <w:tcW w:w="8521" w:type="dxa"/>
            <w:gridSpan w:val="9"/>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pPr>
            <w:r>
              <w:rPr>
                <w:sz w:val="22"/>
              </w:rPr>
              <w:t>主要工作经历</w:t>
            </w:r>
            <w:r>
              <w:rPr>
                <w:rFonts w:ascii="Times New Roman" w:hAnsi="Times New Roman" w:eastAsia="Times New Roman" w:cs="Times New Roman"/>
                <w:sz w:val="22"/>
              </w:rPr>
              <w:t xml:space="preserve"> </w:t>
            </w:r>
          </w:p>
        </w:tc>
      </w:tr>
      <w:tr>
        <w:tblPrEx>
          <w:tblCellMar>
            <w:top w:w="147" w:type="dxa"/>
            <w:left w:w="108" w:type="dxa"/>
            <w:bottom w:w="0" w:type="dxa"/>
            <w:right w:w="126" w:type="dxa"/>
          </w:tblCellMar>
        </w:tblPrEx>
        <w:trPr>
          <w:trHeight w:val="663" w:hRule="atLeast"/>
        </w:trPr>
        <w:tc>
          <w:tcPr>
            <w:tcW w:w="1543" w:type="dxa"/>
            <w:gridSpan w:val="2"/>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sz w:val="22"/>
              </w:rPr>
              <w:t>时</w:t>
            </w:r>
            <w:r>
              <w:rPr>
                <w:rFonts w:ascii="Times New Roman" w:hAnsi="Times New Roman" w:eastAsia="Times New Roman" w:cs="Times New Roman"/>
                <w:sz w:val="22"/>
              </w:rPr>
              <w:t xml:space="preserve">  </w:t>
            </w:r>
            <w:r>
              <w:rPr>
                <w:sz w:val="22"/>
              </w:rPr>
              <w:t>间</w:t>
            </w:r>
            <w:r>
              <w:rPr>
                <w:rFonts w:ascii="Times New Roman" w:hAnsi="Times New Roman" w:eastAsia="Times New Roman" w:cs="Times New Roman"/>
                <w:sz w:val="22"/>
              </w:rPr>
              <w:t xml:space="preserve"> </w:t>
            </w:r>
          </w:p>
        </w:tc>
        <w:tc>
          <w:tcPr>
            <w:tcW w:w="3431" w:type="dxa"/>
            <w:gridSpan w:val="4"/>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rPr>
                <w:sz w:val="22"/>
              </w:rPr>
              <w:t>参加过的类似项目</w:t>
            </w:r>
            <w:r>
              <w:rPr>
                <w:rFonts w:ascii="Times New Roman" w:hAnsi="Times New Roman" w:eastAsia="Times New Roman" w:cs="Times New Roman"/>
                <w:sz w:val="22"/>
              </w:rPr>
              <w:t xml:space="preserve"> </w:t>
            </w:r>
          </w:p>
        </w:tc>
        <w:tc>
          <w:tcPr>
            <w:tcW w:w="12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87" w:right="0" w:firstLine="0"/>
            </w:pPr>
            <w:r>
              <w:rPr>
                <w:sz w:val="22"/>
              </w:rPr>
              <w:t>担任职务</w:t>
            </w:r>
            <w:r>
              <w:rPr>
                <w:rFonts w:ascii="Times New Roman" w:hAnsi="Times New Roman" w:eastAsia="Times New Roman" w:cs="Times New Roman"/>
                <w:sz w:val="22"/>
              </w:rPr>
              <w:t xml:space="preserve"> </w:t>
            </w:r>
          </w:p>
        </w:tc>
        <w:tc>
          <w:tcPr>
            <w:tcW w:w="2293" w:type="dxa"/>
            <w:gridSpan w:val="2"/>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rPr>
                <w:sz w:val="22"/>
              </w:rPr>
              <w:t>发包人及联系电话</w:t>
            </w:r>
            <w:r>
              <w:rPr>
                <w:rFonts w:ascii="Times New Roman" w:hAnsi="Times New Roman" w:eastAsia="Times New Roman" w:cs="Times New Roman"/>
                <w:sz w:val="22"/>
              </w:rPr>
              <w:t xml:space="preserve"> </w:t>
            </w:r>
          </w:p>
        </w:tc>
      </w:tr>
      <w:tr>
        <w:tblPrEx>
          <w:tblCellMar>
            <w:top w:w="147" w:type="dxa"/>
            <w:left w:w="108" w:type="dxa"/>
            <w:bottom w:w="0" w:type="dxa"/>
            <w:right w:w="126" w:type="dxa"/>
          </w:tblCellMar>
        </w:tblPrEx>
        <w:trPr>
          <w:trHeight w:val="447" w:hRule="atLeast"/>
        </w:trPr>
        <w:tc>
          <w:tcPr>
            <w:tcW w:w="1543" w:type="dxa"/>
            <w:gridSpan w:val="2"/>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rPr>
                <w:rFonts w:ascii="Times New Roman" w:hAnsi="Times New Roman" w:eastAsia="Times New Roman" w:cs="Times New Roman"/>
                <w:sz w:val="22"/>
              </w:rPr>
              <w:t xml:space="preserve"> </w:t>
            </w:r>
          </w:p>
        </w:tc>
        <w:tc>
          <w:tcPr>
            <w:tcW w:w="3431" w:type="dxa"/>
            <w:gridSpan w:val="4"/>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rPr>
                <w:rFonts w:ascii="Times New Roman" w:hAnsi="Times New Roman" w:eastAsia="Times New Roman" w:cs="Times New Roman"/>
                <w:sz w:val="22"/>
              </w:rPr>
              <w:t xml:space="preserve"> </w:t>
            </w:r>
          </w:p>
        </w:tc>
        <w:tc>
          <w:tcPr>
            <w:tcW w:w="1254" w:type="dxa"/>
            <w:tcBorders>
              <w:top w:val="single" w:color="000000" w:sz="6" w:space="0"/>
              <w:left w:val="single" w:color="000000" w:sz="6" w:space="0"/>
              <w:bottom w:val="single" w:color="000000" w:sz="6" w:space="0"/>
              <w:right w:val="single" w:color="000000" w:sz="6" w:space="0"/>
            </w:tcBorders>
          </w:tcPr>
          <w:p>
            <w:pPr>
              <w:spacing w:after="0" w:line="276" w:lineRule="auto"/>
              <w:ind w:left="0" w:right="0" w:firstLine="0"/>
            </w:pPr>
            <w:r>
              <w:rPr>
                <w:rFonts w:ascii="Times New Roman" w:hAnsi="Times New Roman" w:eastAsia="Times New Roman" w:cs="Times New Roman"/>
                <w:sz w:val="22"/>
              </w:rPr>
              <w:t xml:space="preserve"> </w:t>
            </w:r>
          </w:p>
        </w:tc>
        <w:tc>
          <w:tcPr>
            <w:tcW w:w="2293" w:type="dxa"/>
            <w:gridSpan w:val="2"/>
            <w:tcBorders>
              <w:top w:val="single" w:color="000000" w:sz="6" w:space="0"/>
              <w:left w:val="single" w:color="000000" w:sz="6" w:space="0"/>
              <w:bottom w:val="single" w:color="000000" w:sz="6" w:space="0"/>
              <w:right w:val="single" w:color="000000" w:sz="6" w:space="0"/>
            </w:tcBorders>
          </w:tcPr>
          <w:p>
            <w:pPr>
              <w:spacing w:after="0" w:line="276" w:lineRule="auto"/>
              <w:ind w:left="1" w:right="0" w:firstLine="0"/>
            </w:pPr>
            <w:r>
              <w:rPr>
                <w:rFonts w:ascii="Times New Roman" w:hAnsi="Times New Roman" w:eastAsia="Times New Roman" w:cs="Times New Roman"/>
                <w:sz w:val="22"/>
              </w:rPr>
              <w:t xml:space="preserve"> </w:t>
            </w:r>
          </w:p>
        </w:tc>
      </w:tr>
      <w:tr>
        <w:tblPrEx>
          <w:tblCellMar>
            <w:top w:w="147" w:type="dxa"/>
            <w:left w:w="108" w:type="dxa"/>
            <w:bottom w:w="0" w:type="dxa"/>
            <w:right w:w="126" w:type="dxa"/>
          </w:tblCellMar>
        </w:tblPrEx>
        <w:trPr>
          <w:trHeight w:val="447" w:hRule="atLeast"/>
        </w:trPr>
        <w:tc>
          <w:tcPr>
            <w:tcW w:w="1543" w:type="dxa"/>
            <w:gridSpan w:val="2"/>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pPr>
            <w:r>
              <w:rPr>
                <w:rFonts w:ascii="Times New Roman" w:hAnsi="Times New Roman" w:eastAsia="Times New Roman" w:cs="Times New Roman"/>
                <w:sz w:val="22"/>
              </w:rPr>
              <w:t xml:space="preserve"> </w:t>
            </w:r>
          </w:p>
        </w:tc>
        <w:tc>
          <w:tcPr>
            <w:tcW w:w="3431" w:type="dxa"/>
            <w:gridSpan w:val="4"/>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pPr>
            <w:r>
              <w:rPr>
                <w:rFonts w:ascii="Times New Roman" w:hAnsi="Times New Roman" w:eastAsia="Times New Roman" w:cs="Times New Roman"/>
                <w:sz w:val="22"/>
              </w:rPr>
              <w:t xml:space="preserve"> </w:t>
            </w:r>
          </w:p>
        </w:tc>
        <w:tc>
          <w:tcPr>
            <w:tcW w:w="1254"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pPr>
            <w:r>
              <w:rPr>
                <w:rFonts w:ascii="Times New Roman" w:hAnsi="Times New Roman" w:eastAsia="Times New Roman" w:cs="Times New Roman"/>
                <w:sz w:val="22"/>
              </w:rPr>
              <w:t xml:space="preserve"> </w:t>
            </w:r>
          </w:p>
        </w:tc>
        <w:tc>
          <w:tcPr>
            <w:tcW w:w="2293" w:type="dxa"/>
            <w:gridSpan w:val="2"/>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1" w:right="0" w:firstLine="0"/>
            </w:pPr>
            <w:r>
              <w:rPr>
                <w:rFonts w:ascii="Times New Roman" w:hAnsi="Times New Roman" w:eastAsia="Times New Roman" w:cs="Times New Roman"/>
                <w:sz w:val="22"/>
              </w:rPr>
              <w:t xml:space="preserve"> </w:t>
            </w:r>
          </w:p>
        </w:tc>
      </w:tr>
      <w:tr>
        <w:tblPrEx>
          <w:tblCellMar>
            <w:top w:w="147" w:type="dxa"/>
            <w:left w:w="108" w:type="dxa"/>
            <w:bottom w:w="0" w:type="dxa"/>
            <w:right w:w="126" w:type="dxa"/>
          </w:tblCellMar>
        </w:tblPrEx>
        <w:trPr>
          <w:trHeight w:val="447" w:hRule="atLeast"/>
        </w:trPr>
        <w:tc>
          <w:tcPr>
            <w:tcW w:w="1543" w:type="dxa"/>
            <w:gridSpan w:val="2"/>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pPr>
            <w:r>
              <w:rPr>
                <w:rFonts w:ascii="Times New Roman" w:hAnsi="Times New Roman" w:eastAsia="Times New Roman" w:cs="Times New Roman"/>
                <w:sz w:val="22"/>
              </w:rPr>
              <w:t xml:space="preserve"> </w:t>
            </w:r>
          </w:p>
        </w:tc>
        <w:tc>
          <w:tcPr>
            <w:tcW w:w="3431" w:type="dxa"/>
            <w:gridSpan w:val="4"/>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pPr>
            <w:r>
              <w:rPr>
                <w:rFonts w:ascii="Times New Roman" w:hAnsi="Times New Roman" w:eastAsia="Times New Roman" w:cs="Times New Roman"/>
                <w:sz w:val="22"/>
              </w:rPr>
              <w:t xml:space="preserve"> </w:t>
            </w:r>
          </w:p>
        </w:tc>
        <w:tc>
          <w:tcPr>
            <w:tcW w:w="1254" w:type="dxa"/>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0" w:right="0" w:firstLine="0"/>
            </w:pPr>
            <w:r>
              <w:rPr>
                <w:rFonts w:ascii="Times New Roman" w:hAnsi="Times New Roman" w:eastAsia="Times New Roman" w:cs="Times New Roman"/>
                <w:sz w:val="22"/>
              </w:rPr>
              <w:t xml:space="preserve"> </w:t>
            </w:r>
          </w:p>
        </w:tc>
        <w:tc>
          <w:tcPr>
            <w:tcW w:w="2293" w:type="dxa"/>
            <w:gridSpan w:val="2"/>
            <w:tcBorders>
              <w:top w:val="single" w:color="000000" w:sz="6" w:space="0"/>
              <w:left w:val="single" w:color="000000" w:sz="6" w:space="0"/>
              <w:bottom w:val="single" w:color="000000" w:sz="6" w:space="0"/>
              <w:right w:val="single" w:color="000000" w:sz="6" w:space="0"/>
            </w:tcBorders>
            <w:vAlign w:val="bottom"/>
          </w:tcPr>
          <w:p>
            <w:pPr>
              <w:spacing w:after="0" w:line="276" w:lineRule="auto"/>
              <w:ind w:left="1" w:right="0" w:firstLine="0"/>
            </w:pPr>
            <w:r>
              <w:rPr>
                <w:rFonts w:ascii="Times New Roman" w:hAnsi="Times New Roman" w:eastAsia="Times New Roman" w:cs="Times New Roman"/>
                <w:sz w:val="22"/>
              </w:rPr>
              <w:t xml:space="preserve"> </w:t>
            </w:r>
          </w:p>
        </w:tc>
      </w:tr>
    </w:tbl>
    <w:p>
      <w:pPr>
        <w:spacing w:after="0" w:line="240" w:lineRule="auto"/>
        <w:ind w:left="187" w:right="0" w:firstLine="0"/>
      </w:pPr>
      <w:r>
        <w:rPr>
          <w:sz w:val="22"/>
        </w:rPr>
        <w:t>注：投标人应根据</w:t>
      </w:r>
      <w:r>
        <w:rPr>
          <w:rFonts w:hint="eastAsia" w:ascii="宋体" w:hAnsi="宋体" w:eastAsia="宋体" w:cs="宋体"/>
          <w:sz w:val="22"/>
        </w:rPr>
        <w:t>招标</w:t>
      </w:r>
      <w:r>
        <w:rPr>
          <w:sz w:val="22"/>
        </w:rPr>
        <w:t>文件的要求在本表后附相关证明材料。</w:t>
      </w:r>
      <w:r>
        <w:rPr>
          <w:rFonts w:ascii="Times New Roman" w:hAnsi="Times New Roman" w:eastAsia="Times New Roman" w:cs="Times New Roman"/>
          <w:b/>
          <w:sz w:val="22"/>
        </w:rPr>
        <w:t xml:space="preserve"> </w:t>
      </w:r>
      <w:r>
        <w:rPr>
          <w:sz w:val="27"/>
        </w:rPr>
        <w:t xml:space="preserve"> </w:t>
      </w:r>
      <w:r>
        <w:br w:type="page"/>
      </w:r>
    </w:p>
    <w:p>
      <w:pPr>
        <w:pStyle w:val="3"/>
        <w:spacing w:after="661" w:line="439" w:lineRule="auto"/>
        <w:ind w:right="3874"/>
        <w:jc w:val="right"/>
      </w:pPr>
      <w:bookmarkStart w:id="18" w:name="_Toc87528840"/>
      <w:r>
        <w:t>八．服务方案</w:t>
      </w:r>
      <w:bookmarkEnd w:id="18"/>
      <w:r>
        <w:t xml:space="preserve"> </w:t>
      </w:r>
    </w:p>
    <w:p>
      <w:pPr>
        <w:spacing w:after="212"/>
        <w:ind w:left="10" w:right="3269"/>
        <w:jc w:val="right"/>
      </w:pPr>
      <w:r>
        <w:t>（投标人可自行制作格式）</w:t>
      </w:r>
      <w:r>
        <w:rPr>
          <w:sz w:val="27"/>
        </w:rPr>
        <w:t xml:space="preserve"> </w:t>
      </w:r>
    </w:p>
    <w:p>
      <w:pPr>
        <w:spacing w:after="262" w:line="240" w:lineRule="auto"/>
        <w:ind w:left="187" w:right="0" w:firstLine="0"/>
      </w:pPr>
      <w:r>
        <w:rPr>
          <w:sz w:val="27"/>
        </w:rPr>
        <w:t xml:space="preserve"> </w:t>
      </w:r>
    </w:p>
    <w:p>
      <w:pPr>
        <w:spacing w:after="262" w:line="240" w:lineRule="auto"/>
        <w:ind w:left="187" w:right="0" w:firstLine="0"/>
      </w:pPr>
      <w:r>
        <w:rPr>
          <w:sz w:val="27"/>
        </w:rPr>
        <w:t xml:space="preserve"> </w:t>
      </w:r>
    </w:p>
    <w:p>
      <w:pPr>
        <w:spacing w:after="262" w:line="240" w:lineRule="auto"/>
        <w:ind w:left="187" w:right="0" w:firstLine="0"/>
      </w:pPr>
      <w:r>
        <w:rPr>
          <w:sz w:val="27"/>
        </w:rPr>
        <w:t xml:space="preserve"> </w:t>
      </w:r>
    </w:p>
    <w:p>
      <w:pPr>
        <w:spacing w:after="262" w:line="240" w:lineRule="auto"/>
        <w:ind w:left="187" w:right="0" w:firstLine="0"/>
      </w:pPr>
      <w:r>
        <w:rPr>
          <w:sz w:val="27"/>
        </w:rPr>
        <w:t xml:space="preserve"> </w:t>
      </w:r>
    </w:p>
    <w:p>
      <w:pPr>
        <w:spacing w:after="262" w:line="240" w:lineRule="auto"/>
        <w:ind w:left="187" w:right="0" w:firstLine="0"/>
      </w:pPr>
      <w:r>
        <w:rPr>
          <w:sz w:val="27"/>
        </w:rPr>
        <w:t xml:space="preserve"> </w:t>
      </w:r>
    </w:p>
    <w:p>
      <w:pPr>
        <w:spacing w:after="0" w:line="240" w:lineRule="auto"/>
        <w:ind w:left="187" w:right="0" w:firstLine="0"/>
      </w:pPr>
      <w:r>
        <w:rPr>
          <w:sz w:val="27"/>
        </w:rPr>
        <w:t xml:space="preserve"> </w:t>
      </w:r>
      <w:r>
        <w:br w:type="page"/>
      </w:r>
    </w:p>
    <w:p>
      <w:pPr>
        <w:pStyle w:val="3"/>
      </w:pPr>
      <w:bookmarkStart w:id="19" w:name="_Toc87528841"/>
      <w:r>
        <w:t>九．有关证明文件</w:t>
      </w:r>
      <w:bookmarkEnd w:id="19"/>
      <w:r>
        <w:t xml:space="preserve"> </w:t>
      </w:r>
    </w:p>
    <w:p>
      <w:pPr>
        <w:ind w:left="673"/>
      </w:pPr>
      <w:r>
        <w:t>提供符合招标邀请（招标公告）、招标需求及招标与评审办法规定的相关证明文件（制</w:t>
      </w:r>
    </w:p>
    <w:p>
      <w:pPr>
        <w:spacing w:after="334"/>
      </w:pPr>
      <w:r>
        <w:t xml:space="preserve">作成扫描件上传）。 </w:t>
      </w:r>
    </w:p>
    <w:p>
      <w:pPr>
        <w:spacing w:after="333"/>
        <w:ind w:left="172" w:firstLine="476"/>
      </w:pPr>
      <w:r>
        <w:t xml:space="preserve">（建议列表说明，并按列表顺序依次附证明材料扫描件；若证明文件过多，可在其他响应文件组成节点里上传提供；已在其他响应文件组成节点里上传提供的资料，无需重复提供，但建议在下表的备注栏注明上传文件的具体响应文件组成节点的名称，以便于评审） </w:t>
      </w:r>
    </w:p>
    <w:tbl>
      <w:tblPr>
        <w:tblStyle w:val="11"/>
        <w:tblW w:w="9876" w:type="dxa"/>
        <w:tblInd w:w="166" w:type="dxa"/>
        <w:tblLayout w:type="autofit"/>
        <w:tblCellMar>
          <w:top w:w="0" w:type="dxa"/>
          <w:left w:w="108" w:type="dxa"/>
          <w:bottom w:w="0" w:type="dxa"/>
          <w:right w:w="87" w:type="dxa"/>
        </w:tblCellMar>
      </w:tblPr>
      <w:tblGrid>
        <w:gridCol w:w="1081"/>
        <w:gridCol w:w="3388"/>
        <w:gridCol w:w="2754"/>
        <w:gridCol w:w="2653"/>
      </w:tblGrid>
      <w:tr>
        <w:tblPrEx>
          <w:tblCellMar>
            <w:top w:w="0" w:type="dxa"/>
            <w:left w:w="108" w:type="dxa"/>
            <w:bottom w:w="0" w:type="dxa"/>
            <w:right w:w="87" w:type="dxa"/>
          </w:tblCellMar>
        </w:tblPrEx>
        <w:trPr>
          <w:trHeight w:val="591" w:hRule="atLeast"/>
        </w:trPr>
        <w:tc>
          <w:tcPr>
            <w:tcW w:w="9876" w:type="dxa"/>
            <w:gridSpan w:val="4"/>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有关证明资料表 </w:t>
            </w:r>
          </w:p>
        </w:tc>
      </w:tr>
      <w:tr>
        <w:tblPrEx>
          <w:tblCellMar>
            <w:top w:w="0" w:type="dxa"/>
            <w:left w:w="108" w:type="dxa"/>
            <w:bottom w:w="0" w:type="dxa"/>
            <w:right w:w="87" w:type="dxa"/>
          </w:tblCellMar>
        </w:tblPrEx>
        <w:trPr>
          <w:trHeight w:val="1571"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73" w:right="0" w:firstLine="0"/>
            </w:pPr>
            <w:r>
              <w:t xml:space="preserve">序号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招标文件“招标与评审办法” 评审对应指标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61" w:line="240" w:lineRule="auto"/>
              <w:ind w:left="101" w:right="0" w:firstLine="0"/>
              <w:jc w:val="both"/>
            </w:pPr>
            <w:r>
              <w:t xml:space="preserve">陈述、说明、方案或 </w:t>
            </w:r>
          </w:p>
          <w:p>
            <w:pPr>
              <w:spacing w:after="0" w:line="276" w:lineRule="auto"/>
              <w:ind w:left="0" w:right="0" w:firstLine="0"/>
              <w:jc w:val="center"/>
            </w:pPr>
            <w:r>
              <w:t xml:space="preserve">证明资料名称 </w:t>
            </w:r>
          </w:p>
        </w:tc>
        <w:tc>
          <w:tcPr>
            <w:tcW w:w="2653" w:type="dxa"/>
            <w:tcBorders>
              <w:top w:val="single" w:color="000000" w:sz="6" w:space="0"/>
              <w:left w:val="single" w:color="000000" w:sz="6" w:space="0"/>
              <w:bottom w:val="single" w:color="000000" w:sz="6" w:space="0"/>
              <w:right w:val="single" w:color="000000" w:sz="6" w:space="0"/>
            </w:tcBorders>
          </w:tcPr>
          <w:p>
            <w:pPr>
              <w:spacing w:after="60" w:line="257" w:lineRule="auto"/>
              <w:ind w:left="0" w:right="0" w:firstLine="83"/>
              <w:jc w:val="center"/>
            </w:pPr>
            <w:r>
              <w:t>备注 （可备注资料对应页码，或上传资料的其他</w:t>
            </w:r>
          </w:p>
          <w:p>
            <w:pPr>
              <w:spacing w:after="0" w:line="276" w:lineRule="auto"/>
              <w:ind w:left="951" w:right="0" w:hanging="908"/>
            </w:pPr>
            <w:r>
              <w:t xml:space="preserve">响应文件组成节点名称） </w:t>
            </w:r>
          </w:p>
        </w:tc>
      </w:tr>
      <w:tr>
        <w:tblPrEx>
          <w:tblCellMar>
            <w:top w:w="0" w:type="dxa"/>
            <w:left w:w="108" w:type="dxa"/>
            <w:bottom w:w="0" w:type="dxa"/>
            <w:right w:w="87" w:type="dxa"/>
          </w:tblCellMar>
        </w:tblPrEx>
        <w:trPr>
          <w:trHeight w:val="591"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一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初审指标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8" w:type="dxa"/>
            <w:bottom w:w="0" w:type="dxa"/>
            <w:right w:w="87" w:type="dxa"/>
          </w:tblCellMar>
        </w:tblPrEx>
        <w:trPr>
          <w:trHeight w:val="591"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1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rPr>
          <w:trHeight w:val="576"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2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8" w:type="dxa"/>
            <w:bottom w:w="0" w:type="dxa"/>
            <w:right w:w="87" w:type="dxa"/>
          </w:tblCellMar>
        </w:tblPrEx>
        <w:trPr>
          <w:trHeight w:val="591"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88" w:right="0" w:firstLine="0"/>
            </w:pPr>
            <w:r>
              <w:t xml:space="preserve">……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8" w:type="dxa"/>
            <w:bottom w:w="0" w:type="dxa"/>
            <w:right w:w="87" w:type="dxa"/>
          </w:tblCellMar>
        </w:tblPrEx>
        <w:trPr>
          <w:trHeight w:val="591"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二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评审指标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8" w:type="dxa"/>
            <w:bottom w:w="0" w:type="dxa"/>
            <w:right w:w="87" w:type="dxa"/>
          </w:tblCellMar>
        </w:tblPrEx>
        <w:trPr>
          <w:trHeight w:val="591"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1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8" w:type="dxa"/>
            <w:bottom w:w="0" w:type="dxa"/>
            <w:right w:w="87" w:type="dxa"/>
          </w:tblCellMar>
        </w:tblPrEx>
        <w:trPr>
          <w:trHeight w:val="591"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2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rPr>
          <w:trHeight w:val="591"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188" w:right="0" w:firstLine="0"/>
            </w:pPr>
            <w:r>
              <w:t xml:space="preserve">……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8" w:type="dxa"/>
            <w:bottom w:w="0" w:type="dxa"/>
            <w:right w:w="87" w:type="dxa"/>
          </w:tblCellMar>
        </w:tblPrEx>
        <w:trPr>
          <w:trHeight w:val="576"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三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pPr>
            <w:r>
              <w:t xml:space="preserve">其他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8" w:type="dxa"/>
            <w:bottom w:w="0" w:type="dxa"/>
            <w:right w:w="87" w:type="dxa"/>
          </w:tblCellMar>
        </w:tblPrEx>
        <w:trPr>
          <w:trHeight w:val="591"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r>
        <w:tblPrEx>
          <w:tblCellMar>
            <w:top w:w="0" w:type="dxa"/>
            <w:left w:w="108" w:type="dxa"/>
            <w:bottom w:w="0" w:type="dxa"/>
            <w:right w:w="87" w:type="dxa"/>
          </w:tblCellMar>
        </w:tblPrEx>
        <w:trPr>
          <w:trHeight w:val="591" w:hRule="atLeast"/>
        </w:trPr>
        <w:tc>
          <w:tcPr>
            <w:tcW w:w="1082"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433" w:right="0" w:firstLine="0"/>
            </w:pPr>
            <w:r>
              <w:t xml:space="preserve">  </w:t>
            </w:r>
          </w:p>
        </w:tc>
        <w:tc>
          <w:tcPr>
            <w:tcW w:w="3388"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754"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c>
          <w:tcPr>
            <w:tcW w:w="2653" w:type="dxa"/>
            <w:tcBorders>
              <w:top w:val="single" w:color="000000" w:sz="6" w:space="0"/>
              <w:left w:val="single" w:color="000000" w:sz="6" w:space="0"/>
              <w:bottom w:val="single" w:color="000000" w:sz="6" w:space="0"/>
              <w:right w:val="single" w:color="000000" w:sz="6" w:space="0"/>
            </w:tcBorders>
            <w:vAlign w:val="center"/>
          </w:tcPr>
          <w:p>
            <w:pPr>
              <w:spacing w:after="0" w:line="276" w:lineRule="auto"/>
              <w:ind w:left="0" w:right="0" w:firstLine="0"/>
              <w:jc w:val="center"/>
            </w:pPr>
            <w:r>
              <w:t xml:space="preserve">  </w:t>
            </w:r>
          </w:p>
        </w:tc>
      </w:tr>
    </w:tbl>
    <w:p>
      <w:pPr>
        <w:spacing w:after="0" w:line="240" w:lineRule="auto"/>
        <w:ind w:left="663" w:right="0" w:firstLine="0"/>
      </w:pPr>
      <w:r>
        <w:t xml:space="preserve"> </w:t>
      </w:r>
    </w:p>
    <w:p>
      <w:pPr>
        <w:pStyle w:val="3"/>
      </w:pPr>
      <w:bookmarkStart w:id="20" w:name="_Toc87528842"/>
      <w:r>
        <w:t>十．投标授权书</w:t>
      </w:r>
      <w:bookmarkEnd w:id="20"/>
      <w:r>
        <w:t xml:space="preserve"> </w:t>
      </w:r>
    </w:p>
    <w:p>
      <w:pPr>
        <w:spacing w:line="383" w:lineRule="auto"/>
        <w:ind w:left="172" w:firstLine="476"/>
      </w:pPr>
      <w:r>
        <w:t>本授权书声明：</w:t>
      </w:r>
      <w:r>
        <w:rPr>
          <w:u w:val="single" w:color="000000"/>
        </w:rPr>
        <w:t xml:space="preserve">           </w:t>
      </w:r>
      <w:r>
        <w:t>公司（工厂）授权</w:t>
      </w:r>
      <w:r>
        <w:rPr>
          <w:u w:val="single" w:color="000000"/>
        </w:rPr>
        <w:t xml:space="preserve">       </w:t>
      </w:r>
      <w:r>
        <w:t>（投标人授权代表姓名，手机号码）代表本公司（工厂）参加合肥市长丰供水集团</w:t>
      </w:r>
      <w:r>
        <w:rPr>
          <w:u w:val="single" w:color="000000"/>
        </w:rPr>
        <w:t>长丰供水集团智能仓储管理系统建设</w:t>
      </w:r>
    </w:p>
    <w:p>
      <w:pPr>
        <w:spacing w:line="389" w:lineRule="auto"/>
        <w:ind w:right="169"/>
      </w:pPr>
      <w:r>
        <w:t xml:space="preserve">招标活动（项目编号：                 ），全权代表本公司处理投标过程的一切事宜，包括但不限于：投标、参与招标、谈判、签约等。投标人授权代表在投标过程中所签署的一切文件和处理与之有关的一切事务，本公司均予以认可并对此承担责任。投标人授权代表无转委托权。特此授权。 本授权书自出具之日起生效。 </w:t>
      </w:r>
    </w:p>
    <w:p>
      <w:pPr>
        <w:spacing w:after="219" w:line="240" w:lineRule="auto"/>
        <w:ind w:left="187" w:right="0" w:firstLine="0"/>
      </w:pPr>
      <w:r>
        <w:t xml:space="preserve"> </w:t>
      </w:r>
    </w:p>
    <w:p>
      <w:pPr>
        <w:ind w:left="846"/>
      </w:pPr>
      <w:r>
        <w:rPr>
          <w:sz w:val="22"/>
        </w:rPr>
        <mc:AlternateContent>
          <mc:Choice Requires="wpg">
            <w:drawing>
              <wp:anchor distT="0" distB="0" distL="114300" distR="114300" simplePos="0" relativeHeight="251659264" behindDoc="0" locked="0" layoutInCell="1" allowOverlap="1">
                <wp:simplePos x="0" y="0"/>
                <wp:positionH relativeFrom="column">
                  <wp:posOffset>1350645</wp:posOffset>
                </wp:positionH>
                <wp:positionV relativeFrom="paragraph">
                  <wp:posOffset>-129540</wp:posOffset>
                </wp:positionV>
                <wp:extent cx="3860165" cy="727710"/>
                <wp:effectExtent l="0" t="0" r="0" b="0"/>
                <wp:wrapSquare wrapText="bothSides"/>
                <wp:docPr id="62303" name="Group 62303"/>
                <wp:cNvGraphicFramePr/>
                <a:graphic xmlns:a="http://schemas.openxmlformats.org/drawingml/2006/main">
                  <a:graphicData uri="http://schemas.microsoft.com/office/word/2010/wordprocessingGroup">
                    <wpg:wgp>
                      <wpg:cNvGrpSpPr/>
                      <wpg:grpSpPr>
                        <a:xfrm>
                          <a:off x="0" y="0"/>
                          <a:ext cx="3860165" cy="727710"/>
                          <a:chOff x="0" y="0"/>
                          <a:chExt cx="3860165" cy="727710"/>
                        </a:xfrm>
                      </wpg:grpSpPr>
                      <wps:wsp>
                        <wps:cNvPr id="11799" name="Shape 11799"/>
                        <wps:cNvSpPr/>
                        <wps:spPr>
                          <a:xfrm>
                            <a:off x="0" y="0"/>
                            <a:ext cx="1774190" cy="727710"/>
                          </a:xfrm>
                          <a:custGeom>
                            <a:avLst/>
                            <a:gdLst/>
                            <a:ahLst/>
                            <a:cxnLst/>
                            <a:rect l="0" t="0" r="0" b="0"/>
                            <a:pathLst>
                              <a:path w="1774190" h="727710">
                                <a:moveTo>
                                  <a:pt x="121285" y="0"/>
                                </a:moveTo>
                                <a:cubicBezTo>
                                  <a:pt x="54356" y="0"/>
                                  <a:pt x="0" y="54356"/>
                                  <a:pt x="0" y="121286"/>
                                </a:cubicBezTo>
                                <a:lnTo>
                                  <a:pt x="0" y="606425"/>
                                </a:lnTo>
                                <a:cubicBezTo>
                                  <a:pt x="0" y="673354"/>
                                  <a:pt x="54356" y="727710"/>
                                  <a:pt x="121285" y="727710"/>
                                </a:cubicBezTo>
                                <a:lnTo>
                                  <a:pt x="1652905" y="727710"/>
                                </a:lnTo>
                                <a:cubicBezTo>
                                  <a:pt x="1719834" y="727710"/>
                                  <a:pt x="1774190" y="673354"/>
                                  <a:pt x="1774190" y="606425"/>
                                </a:cubicBezTo>
                                <a:lnTo>
                                  <a:pt x="1774190" y="121286"/>
                                </a:lnTo>
                                <a:cubicBezTo>
                                  <a:pt x="1774190" y="54356"/>
                                  <a:pt x="1719834" y="0"/>
                                  <a:pt x="165290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800" name="Rectangle 11800"/>
                        <wps:cNvSpPr/>
                        <wps:spPr>
                          <a:xfrm>
                            <a:off x="131699" y="67910"/>
                            <a:ext cx="45606" cy="201943"/>
                          </a:xfrm>
                          <a:prstGeom prst="rect">
                            <a:avLst/>
                          </a:prstGeom>
                          <a:ln>
                            <a:noFill/>
                          </a:ln>
                        </wps:spPr>
                        <wps:txbx>
                          <w:txbxContent>
                            <w:p>
                              <w:pPr>
                                <w:spacing w:after="0" w:line="276" w:lineRule="auto"/>
                                <w:ind w:left="0" w:right="0" w:firstLine="0"/>
                              </w:pPr>
                              <w:r>
                                <w:rPr>
                                  <w:rFonts w:ascii="Times New Roman" w:hAnsi="Times New Roman" w:eastAsia="Times New Roman" w:cs="Times New Roman"/>
                                  <w:color w:val="FF0000"/>
                                  <w:sz w:val="22"/>
                                </w:rPr>
                                <w:t xml:space="preserve"> </w:t>
                              </w:r>
                            </w:p>
                          </w:txbxContent>
                        </wps:txbx>
                        <wps:bodyPr horzOverflow="overflow" lIns="0" tIns="0" rIns="0" bIns="0" rtlCol="0">
                          <a:noAutofit/>
                        </wps:bodyPr>
                      </wps:wsp>
                      <wps:wsp>
                        <wps:cNvPr id="11801" name="Rectangle 11801"/>
                        <wps:cNvSpPr/>
                        <wps:spPr>
                          <a:xfrm>
                            <a:off x="269113" y="245983"/>
                            <a:ext cx="365265" cy="182423"/>
                          </a:xfrm>
                          <a:prstGeom prst="rect">
                            <a:avLst/>
                          </a:prstGeom>
                          <a:ln>
                            <a:noFill/>
                          </a:ln>
                        </wps:spPr>
                        <wps:txbx>
                          <w:txbxContent>
                            <w:p>
                              <w:pPr>
                                <w:spacing w:after="0" w:line="276" w:lineRule="auto"/>
                                <w:ind w:left="0" w:right="0" w:firstLine="0"/>
                              </w:pPr>
                              <w:r>
                                <w:rPr>
                                  <w:color w:val="FF0000"/>
                                  <w:sz w:val="22"/>
                                </w:rPr>
                                <w:t>授权</w:t>
                              </w:r>
                            </w:p>
                          </w:txbxContent>
                        </wps:txbx>
                        <wps:bodyPr horzOverflow="overflow" lIns="0" tIns="0" rIns="0" bIns="0" rtlCol="0">
                          <a:noAutofit/>
                        </wps:bodyPr>
                      </wps:wsp>
                      <wps:wsp>
                        <wps:cNvPr id="11802" name="Rectangle 11802"/>
                        <wps:cNvSpPr/>
                        <wps:spPr>
                          <a:xfrm>
                            <a:off x="543814" y="245983"/>
                            <a:ext cx="913790" cy="182423"/>
                          </a:xfrm>
                          <a:prstGeom prst="rect">
                            <a:avLst/>
                          </a:prstGeom>
                          <a:ln>
                            <a:noFill/>
                          </a:ln>
                        </wps:spPr>
                        <wps:txbx>
                          <w:txbxContent>
                            <w:p>
                              <w:pPr>
                                <w:spacing w:after="0" w:line="276" w:lineRule="auto"/>
                                <w:ind w:left="0" w:right="0" w:firstLine="0"/>
                              </w:pPr>
                              <w:r>
                                <w:rPr>
                                  <w:color w:val="FF0000"/>
                                  <w:sz w:val="22"/>
                                </w:rPr>
                                <w:t>代表身份证</w:t>
                              </w:r>
                            </w:p>
                          </w:txbxContent>
                        </wps:txbx>
                        <wps:bodyPr horzOverflow="overflow" lIns="0" tIns="0" rIns="0" bIns="0" rtlCol="0">
                          <a:noAutofit/>
                        </wps:bodyPr>
                      </wps:wsp>
                      <wps:wsp>
                        <wps:cNvPr id="11803" name="Rectangle 11803"/>
                        <wps:cNvSpPr/>
                        <wps:spPr>
                          <a:xfrm>
                            <a:off x="1230249" y="245983"/>
                            <a:ext cx="365264" cy="182423"/>
                          </a:xfrm>
                          <a:prstGeom prst="rect">
                            <a:avLst/>
                          </a:prstGeom>
                          <a:ln>
                            <a:noFill/>
                          </a:ln>
                        </wps:spPr>
                        <wps:txbx>
                          <w:txbxContent>
                            <w:p>
                              <w:pPr>
                                <w:spacing w:after="0" w:line="276" w:lineRule="auto"/>
                                <w:ind w:left="0" w:right="0" w:firstLine="0"/>
                              </w:pPr>
                              <w:r>
                                <w:rPr>
                                  <w:color w:val="FF0000"/>
                                  <w:sz w:val="22"/>
                                </w:rPr>
                                <w:t>正面</w:t>
                              </w:r>
                            </w:p>
                          </w:txbxContent>
                        </wps:txbx>
                        <wps:bodyPr horzOverflow="overflow" lIns="0" tIns="0" rIns="0" bIns="0" rtlCol="0">
                          <a:noAutofit/>
                        </wps:bodyPr>
                      </wps:wsp>
                      <wps:wsp>
                        <wps:cNvPr id="11804" name="Rectangle 11804"/>
                        <wps:cNvSpPr/>
                        <wps:spPr>
                          <a:xfrm>
                            <a:off x="1505204" y="241646"/>
                            <a:ext cx="45606" cy="201943"/>
                          </a:xfrm>
                          <a:prstGeom prst="rect">
                            <a:avLst/>
                          </a:prstGeom>
                          <a:ln>
                            <a:noFill/>
                          </a:ln>
                        </wps:spPr>
                        <wps:txbx>
                          <w:txbxContent>
                            <w:p>
                              <w:pPr>
                                <w:spacing w:after="0" w:line="276" w:lineRule="auto"/>
                                <w:ind w:left="0" w:right="0" w:firstLine="0"/>
                              </w:pPr>
                              <w:r>
                                <w:rPr>
                                  <w:rFonts w:ascii="Times New Roman" w:hAnsi="Times New Roman" w:eastAsia="Times New Roman" w:cs="Times New Roman"/>
                                  <w:color w:val="FF0000"/>
                                  <w:sz w:val="22"/>
                                </w:rPr>
                                <w:t xml:space="preserve"> </w:t>
                              </w:r>
                            </w:p>
                          </w:txbxContent>
                        </wps:txbx>
                        <wps:bodyPr horzOverflow="overflow" lIns="0" tIns="0" rIns="0" bIns="0" rtlCol="0">
                          <a:noAutofit/>
                        </wps:bodyPr>
                      </wps:wsp>
                      <wps:wsp>
                        <wps:cNvPr id="11805" name="Rectangle 11805"/>
                        <wps:cNvSpPr/>
                        <wps:spPr>
                          <a:xfrm>
                            <a:off x="680974" y="428864"/>
                            <a:ext cx="548106" cy="182422"/>
                          </a:xfrm>
                          <a:prstGeom prst="rect">
                            <a:avLst/>
                          </a:prstGeom>
                          <a:ln>
                            <a:noFill/>
                          </a:ln>
                        </wps:spPr>
                        <wps:txbx>
                          <w:txbxContent>
                            <w:p>
                              <w:pPr>
                                <w:spacing w:after="0" w:line="276" w:lineRule="auto"/>
                                <w:ind w:left="0" w:right="0" w:firstLine="0"/>
                              </w:pPr>
                              <w:r>
                                <w:rPr>
                                  <w:color w:val="FF0000"/>
                                  <w:sz w:val="22"/>
                                </w:rPr>
                                <w:t>扫描件</w:t>
                              </w:r>
                            </w:p>
                          </w:txbxContent>
                        </wps:txbx>
                        <wps:bodyPr horzOverflow="overflow" lIns="0" tIns="0" rIns="0" bIns="0" rtlCol="0">
                          <a:noAutofit/>
                        </wps:bodyPr>
                      </wps:wsp>
                      <wps:wsp>
                        <wps:cNvPr id="11806" name="Rectangle 11806"/>
                        <wps:cNvSpPr/>
                        <wps:spPr>
                          <a:xfrm>
                            <a:off x="1093089" y="424526"/>
                            <a:ext cx="45606" cy="201941"/>
                          </a:xfrm>
                          <a:prstGeom prst="rect">
                            <a:avLst/>
                          </a:prstGeom>
                          <a:ln>
                            <a:noFill/>
                          </a:ln>
                        </wps:spPr>
                        <wps:txbx>
                          <w:txbxContent>
                            <w:p>
                              <w:pPr>
                                <w:spacing w:after="0" w:line="276" w:lineRule="auto"/>
                                <w:ind w:left="0" w:right="0" w:firstLine="0"/>
                              </w:pPr>
                              <w:r>
                                <w:rPr>
                                  <w:rFonts w:ascii="Times New Roman" w:hAnsi="Times New Roman" w:eastAsia="Times New Roman" w:cs="Times New Roman"/>
                                  <w:color w:val="FF0000"/>
                                  <w:sz w:val="22"/>
                                </w:rPr>
                                <w:t xml:space="preserve"> </w:t>
                              </w:r>
                            </w:p>
                          </w:txbxContent>
                        </wps:txbx>
                        <wps:bodyPr horzOverflow="overflow" lIns="0" tIns="0" rIns="0" bIns="0" rtlCol="0">
                          <a:noAutofit/>
                        </wps:bodyPr>
                      </wps:wsp>
                      <wps:wsp>
                        <wps:cNvPr id="11808" name="Shape 11808"/>
                        <wps:cNvSpPr/>
                        <wps:spPr>
                          <a:xfrm>
                            <a:off x="2085975" y="0"/>
                            <a:ext cx="1774190" cy="727710"/>
                          </a:xfrm>
                          <a:custGeom>
                            <a:avLst/>
                            <a:gdLst/>
                            <a:ahLst/>
                            <a:cxnLst/>
                            <a:rect l="0" t="0" r="0" b="0"/>
                            <a:pathLst>
                              <a:path w="1774190" h="727710">
                                <a:moveTo>
                                  <a:pt x="121285" y="0"/>
                                </a:moveTo>
                                <a:cubicBezTo>
                                  <a:pt x="54356" y="0"/>
                                  <a:pt x="0" y="54356"/>
                                  <a:pt x="0" y="121286"/>
                                </a:cubicBezTo>
                                <a:lnTo>
                                  <a:pt x="0" y="606425"/>
                                </a:lnTo>
                                <a:cubicBezTo>
                                  <a:pt x="0" y="673354"/>
                                  <a:pt x="54356" y="727710"/>
                                  <a:pt x="121285" y="727710"/>
                                </a:cubicBezTo>
                                <a:lnTo>
                                  <a:pt x="1652905" y="727710"/>
                                </a:lnTo>
                                <a:cubicBezTo>
                                  <a:pt x="1719834" y="727710"/>
                                  <a:pt x="1774190" y="673354"/>
                                  <a:pt x="1774190" y="606425"/>
                                </a:cubicBezTo>
                                <a:lnTo>
                                  <a:pt x="1774190" y="121286"/>
                                </a:lnTo>
                                <a:cubicBezTo>
                                  <a:pt x="1774190" y="54356"/>
                                  <a:pt x="1719834" y="0"/>
                                  <a:pt x="165290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809" name="Rectangle 11809"/>
                        <wps:cNvSpPr/>
                        <wps:spPr>
                          <a:xfrm>
                            <a:off x="2219071" y="67910"/>
                            <a:ext cx="45606" cy="201943"/>
                          </a:xfrm>
                          <a:prstGeom prst="rect">
                            <a:avLst/>
                          </a:prstGeom>
                          <a:ln>
                            <a:noFill/>
                          </a:ln>
                        </wps:spPr>
                        <wps:txbx>
                          <w:txbxContent>
                            <w:p>
                              <w:pPr>
                                <w:spacing w:after="0" w:line="276" w:lineRule="auto"/>
                                <w:ind w:left="0" w:right="0" w:firstLine="0"/>
                              </w:pPr>
                              <w:r>
                                <w:rPr>
                                  <w:rFonts w:ascii="Times New Roman" w:hAnsi="Times New Roman" w:eastAsia="Times New Roman" w:cs="Times New Roman"/>
                                  <w:color w:val="FF0000"/>
                                  <w:sz w:val="22"/>
                                </w:rPr>
                                <w:t xml:space="preserve"> </w:t>
                              </w:r>
                            </w:p>
                          </w:txbxContent>
                        </wps:txbx>
                        <wps:bodyPr horzOverflow="overflow" lIns="0" tIns="0" rIns="0" bIns="0" rtlCol="0">
                          <a:noAutofit/>
                        </wps:bodyPr>
                      </wps:wsp>
                      <wps:wsp>
                        <wps:cNvPr id="11810" name="Rectangle 11810"/>
                        <wps:cNvSpPr/>
                        <wps:spPr>
                          <a:xfrm>
                            <a:off x="2356485" y="245983"/>
                            <a:ext cx="1279473" cy="182423"/>
                          </a:xfrm>
                          <a:prstGeom prst="rect">
                            <a:avLst/>
                          </a:prstGeom>
                          <a:ln>
                            <a:noFill/>
                          </a:ln>
                        </wps:spPr>
                        <wps:txbx>
                          <w:txbxContent>
                            <w:p>
                              <w:pPr>
                                <w:spacing w:after="0" w:line="276" w:lineRule="auto"/>
                                <w:ind w:left="0" w:right="0" w:firstLine="0"/>
                              </w:pPr>
                              <w:r>
                                <w:rPr>
                                  <w:color w:val="FF0000"/>
                                  <w:sz w:val="22"/>
                                </w:rPr>
                                <w:t>授权代表身份证</w:t>
                              </w:r>
                            </w:p>
                          </w:txbxContent>
                        </wps:txbx>
                        <wps:bodyPr horzOverflow="overflow" lIns="0" tIns="0" rIns="0" bIns="0" rtlCol="0">
                          <a:noAutofit/>
                        </wps:bodyPr>
                      </wps:wsp>
                      <wps:wsp>
                        <wps:cNvPr id="11811" name="Rectangle 11811"/>
                        <wps:cNvSpPr/>
                        <wps:spPr>
                          <a:xfrm>
                            <a:off x="3317875" y="245983"/>
                            <a:ext cx="365264" cy="182423"/>
                          </a:xfrm>
                          <a:prstGeom prst="rect">
                            <a:avLst/>
                          </a:prstGeom>
                          <a:ln>
                            <a:noFill/>
                          </a:ln>
                        </wps:spPr>
                        <wps:txbx>
                          <w:txbxContent>
                            <w:p>
                              <w:pPr>
                                <w:spacing w:after="0" w:line="276" w:lineRule="auto"/>
                                <w:ind w:left="0" w:right="0" w:firstLine="0"/>
                              </w:pPr>
                              <w:r>
                                <w:rPr>
                                  <w:color w:val="FF0000"/>
                                  <w:sz w:val="22"/>
                                </w:rPr>
                                <w:t>反面</w:t>
                              </w:r>
                            </w:p>
                          </w:txbxContent>
                        </wps:txbx>
                        <wps:bodyPr horzOverflow="overflow" lIns="0" tIns="0" rIns="0" bIns="0" rtlCol="0">
                          <a:noAutofit/>
                        </wps:bodyPr>
                      </wps:wsp>
                      <wps:wsp>
                        <wps:cNvPr id="11812" name="Rectangle 11812"/>
                        <wps:cNvSpPr/>
                        <wps:spPr>
                          <a:xfrm>
                            <a:off x="3592576" y="241646"/>
                            <a:ext cx="45606" cy="201943"/>
                          </a:xfrm>
                          <a:prstGeom prst="rect">
                            <a:avLst/>
                          </a:prstGeom>
                          <a:ln>
                            <a:noFill/>
                          </a:ln>
                        </wps:spPr>
                        <wps:txbx>
                          <w:txbxContent>
                            <w:p>
                              <w:pPr>
                                <w:spacing w:after="0" w:line="276" w:lineRule="auto"/>
                                <w:ind w:left="0" w:right="0" w:firstLine="0"/>
                              </w:pPr>
                              <w:r>
                                <w:rPr>
                                  <w:rFonts w:ascii="Times New Roman" w:hAnsi="Times New Roman" w:eastAsia="Times New Roman" w:cs="Times New Roman"/>
                                  <w:color w:val="FF0000"/>
                                  <w:sz w:val="22"/>
                                </w:rPr>
                                <w:t xml:space="preserve"> </w:t>
                              </w:r>
                            </w:p>
                          </w:txbxContent>
                        </wps:txbx>
                        <wps:bodyPr horzOverflow="overflow" lIns="0" tIns="0" rIns="0" bIns="0" rtlCol="0">
                          <a:noAutofit/>
                        </wps:bodyPr>
                      </wps:wsp>
                      <wps:wsp>
                        <wps:cNvPr id="11813" name="Rectangle 11813"/>
                        <wps:cNvSpPr/>
                        <wps:spPr>
                          <a:xfrm>
                            <a:off x="2768346" y="428864"/>
                            <a:ext cx="548106" cy="182422"/>
                          </a:xfrm>
                          <a:prstGeom prst="rect">
                            <a:avLst/>
                          </a:prstGeom>
                          <a:ln>
                            <a:noFill/>
                          </a:ln>
                        </wps:spPr>
                        <wps:txbx>
                          <w:txbxContent>
                            <w:p>
                              <w:pPr>
                                <w:spacing w:after="0" w:line="276" w:lineRule="auto"/>
                                <w:ind w:left="0" w:right="0" w:firstLine="0"/>
                              </w:pPr>
                              <w:r>
                                <w:rPr>
                                  <w:color w:val="FF0000"/>
                                  <w:sz w:val="22"/>
                                </w:rPr>
                                <w:t>扫描件</w:t>
                              </w:r>
                            </w:p>
                          </w:txbxContent>
                        </wps:txbx>
                        <wps:bodyPr horzOverflow="overflow" lIns="0" tIns="0" rIns="0" bIns="0" rtlCol="0">
                          <a:noAutofit/>
                        </wps:bodyPr>
                      </wps:wsp>
                      <wps:wsp>
                        <wps:cNvPr id="11814" name="Rectangle 11814"/>
                        <wps:cNvSpPr/>
                        <wps:spPr>
                          <a:xfrm>
                            <a:off x="3180461" y="424526"/>
                            <a:ext cx="45606" cy="201941"/>
                          </a:xfrm>
                          <a:prstGeom prst="rect">
                            <a:avLst/>
                          </a:prstGeom>
                          <a:ln>
                            <a:noFill/>
                          </a:ln>
                        </wps:spPr>
                        <wps:txbx>
                          <w:txbxContent>
                            <w:p>
                              <w:pPr>
                                <w:spacing w:after="0" w:line="276" w:lineRule="auto"/>
                                <w:ind w:left="0" w:right="0" w:firstLine="0"/>
                              </w:pPr>
                              <w:r>
                                <w:rPr>
                                  <w:rFonts w:ascii="Times New Roman" w:hAnsi="Times New Roman" w:eastAsia="Times New Roman" w:cs="Times New Roman"/>
                                  <w:color w:val="FF0000"/>
                                  <w:sz w:val="22"/>
                                </w:rPr>
                                <w:t xml:space="preserve"> </w:t>
                              </w:r>
                            </w:p>
                          </w:txbxContent>
                        </wps:txbx>
                        <wps:bodyPr horzOverflow="overflow" lIns="0" tIns="0" rIns="0" bIns="0" rtlCol="0">
                          <a:noAutofit/>
                        </wps:bodyPr>
                      </wps:wsp>
                    </wpg:wgp>
                  </a:graphicData>
                </a:graphic>
              </wp:anchor>
            </w:drawing>
          </mc:Choice>
          <mc:Fallback>
            <w:pict>
              <v:group id="Group 62303" o:spid="_x0000_s1026" o:spt="203" style="position:absolute;left:0pt;margin-left:106.35pt;margin-top:-10.2pt;height:57.3pt;width:303.95pt;mso-wrap-distance-bottom:0pt;mso-wrap-distance-left:9pt;mso-wrap-distance-right:9pt;mso-wrap-distance-top:0pt;z-index:251659264;mso-width-relative:page;mso-height-relative:page;" coordsize="3860165,727710" o:gfxdata="UEsDBAoAAAAAAIdO4kAAAAAAAAAAAAAAAAAEAAAAZHJzL1BLAwQUAAAACACHTuJA+qJZcdsAAAAK&#10;AQAADwAAAGRycy9kb3ducmV2LnhtbE2Py07DMBBF90j8gzVI7Fo/KKUNmVSoAlYVEi0S6s6Np0nU&#10;2I5iN2n/HrOC5ege3XsmX11sywbqQ+MdgpwKYORKbxpXIXzt3iYLYCFqZ3TrHSFcKcCquL3JdWb8&#10;6D5p2MaKpRIXMo1Qx9hlnIeyJqvD1HfkUnb0vdUxnX3FTa/HVG5broSYc6sblxZq3dG6pvK0PVuE&#10;91GPLw/yddicjuvrfvf48b2RhHh/J8UzsEiX+AfDr35ShyI5HfzZmcBaBCXVU0IRJkrMgCViocQc&#10;2AFhOVPAi5z/f6H4AVBLAwQUAAAACACHTuJAuFTB7DYFAABDIwAADgAAAGRycy9lMm9Eb2MueG1s&#10;7VrLbuM2FN0X6D8I2jcWqbcRZ9BOmqBAMTPoTD+A1huQRIGkY2e+vpekKEuxkthtJpsqC4fim+eQ&#10;h/de6frDoamth4zxirYbG105tpW1CU2rttjYf3+7+yWyLS5Im5KattnGfsy4/eHm55+u9906w7Sk&#10;dZoxCzpp+XrfbexSiG69WvGkzBrCr2iXtVCYU9YQAY+sWKWM7KH3pl5hxwlWe8rSjtEk4xxyb3Wh&#10;3ffIzumQ5nmVZLc02TVZK3SvLKuJgCXxsuq4faNmm+dZIj7nOc+EVW9sWKlQvzAIpLfyd3VzTdYF&#10;I11ZJf0UyDlTeLKmhlQtDDp0dUsEsXasOumqqRJGOc3FVUKblV6IQgRWgZwn2NwzuuvUWor1vugG&#10;0IGoJ6j/626TTw9fmFWlGzvAruPaVksaIF2NbOksgGjfFWuoec+6r90X1mcU+kmu+pCzRv6H9VgH&#10;Be7jAG52EFYCmW4UOCjwbSuBshCHIerRT0qg6KRZUv7+csOVGXYlZzdMZt/BtuRHrPh/w+prSbpM&#10;UcAlAj1WCIVxbLBSVSydpaBRNQeg+JoDZueihMLQQzHszilKw2LJOtlxcZ9RhTd5+JMLvYVTkyKl&#10;SSWH1iQZHIQXj0BHhGwnpymT1h6kwUylHPiSxQ19yL5RVVFI1hBGOAJaDeMw1WOVZLetkt+y7+MG&#10;vuf6wbE+DKj6gTVDF7pQLWmcrQYJ5GmF7qed1u24c91L4AQe9vvqpsK02bj3IHRd39NaoPOPcxzv&#10;VF02WvCx8JVpwcbHsaNRmjR6aXIoRHHkegqXYyOD10APoHa6gEnpGI0pCmb4fmWGcehygripNm18&#10;2uiEvfES+uPetxoBogpOAExqyjNNuNyRivlhl6rax3PQ0ruqrtWuqVu5d2Mf6LcSAvcTa1NINR1I&#10;HG8L2yJ1AfdeIpjSa07rKpWN5YbmrNh+rJn1QOC2uFN//R6aVOsYF7eEl7qeKtJ7B+S6TfWU6xYm&#10;LLVIH36Z2tL0UYmnygeNkrr6LmIVOXAstLD/BUJA2qLOQLBkNsxWTgKk7XXBQi4KpOypDRcb+Tb6&#10;7vlw6rRuwVUWe24PnbkbJGpStyyZAFpgIooBo2FAqakiuZAAkvVALJTOQCoO20O/Ao2uVVL2/TNY&#10;N3lNYRuAVKmUbdV/tHATAAzCJJhJbE2CifojVXaCHvrXnaB5JfVVMaZH6B/elz40Tx+6iD4cxAjB&#10;DQ/0Yc8HZdGb1vDnwok01zOKsIcXAsGcvciwes5YiBw8TyC+iEBQ1wjp62COwBi5obEcFgKNP/JG&#10;BA6W8VRA1Rk5X0DBxMaeVtA5BtURBIKl7bcw+MYMAq5zV6Ay+85n0Hd87JgziAJP2aRkbUR0uQS7&#10;H+RwRdJ6niNQmflnExhEThxq/jwcRUFv9Rv+fC9CxopRJ1ApNBgfixVzbtDi+UsQrMM5AtUROptA&#10;5MSuE2kN9UBE8SsnUNlIC4EXRJ2eJxAig5pAE/KInOgiCwY7kR+Ho2DBUTkHh3UJfGgPWUcyJm74&#10;1P02Tvm4+hL4GPaR9FKXwMf/PfAxRGmndnt8mWxhCMmG4IQvkQ8Vr3q/wBUEmeZsBh17OttmwBBw&#10;9voY9ZzfhXAYeyG4eIvjNX6V9zauM5oPXkH2JbFH10Vh1FsOcxQurjOchh/zqitC89EryL6IQT/G&#10;fqhf/GBvcZ3fMfwvo74znhdkX0IgDgN4G6UJXHxn+ZL5He/B+egVRIMvYdCFVz5eoO2YxXdWBKqP&#10;B+DbCvV6sf8ORH68MX5Wr3yO377c/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qBwAAW0NvbnRlbnRfVHlwZXNdLnhtbFBLAQIUAAoAAAAAAIdO&#10;4kAAAAAAAAAAAAAAAAAGAAAAAAAAAAAAEAAAAIwGAABfcmVscy9QSwECFAAUAAAACACHTuJAihRm&#10;PNEAAACUAQAACwAAAAAAAAABACAAAACwBgAAX3JlbHMvLnJlbHNQSwECFAAKAAAAAACHTuJAAAAA&#10;AAAAAAAAAAAABAAAAAAAAAAAABAAAAAAAAAAZHJzL1BLAQIUABQAAAAIAIdO4kD6ollx2wAAAAoB&#10;AAAPAAAAAAAAAAEAIAAAACIAAABkcnMvZG93bnJldi54bWxQSwECFAAUAAAACACHTuJAuFTB7DYF&#10;AABDIwAADgAAAAAAAAABACAAAAAqAQAAZHJzL2Uyb0RvYy54bWxQSwUGAAAAAAYABgBZAQAA0ggA&#10;AAAA&#10;">
                <o:lock v:ext="edit" aspectratio="f"/>
                <v:shape id="Shape 11799" o:spid="_x0000_s1026" o:spt="100" style="position:absolute;left:0;top:0;height:727710;width:1774190;" filled="f" stroked="t" coordsize="1774190,727710" o:gfxdata="UEsDBAoAAAAAAIdO4kAAAAAAAAAAAAAAAAAEAAAAZHJzL1BLAwQUAAAACACHTuJAZnCq3L0AAADe&#10;AAAADwAAAGRycy9kb3ducmV2LnhtbEVPS2sCMRC+F/ofwgi91WQ9WHc1ClaEXpbStfQ8bGYfuJms&#10;SXy0v74pFLzNx/ec1eZmB3EhH3rHGrKpAkFcO9Nzq+HzsH9egAgR2eDgmDR8U4DN+vFhhYVxV/6g&#10;SxVbkUI4FKihi3EspAx1RxbD1I3EiWuctxgT9K00Hq8p3A5yptRcWuw5NXQ40mtH9bE6Ww31blv5&#10;L/WTn/YN7d7Lct6UeNL6aZKpJYhIt3gX/7vfTJqfveQ5/L2Tbp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KrcvQAA&#10;AN4AAAAPAAAAAAAAAAEAIAAAACIAAABkcnMvZG93bnJldi54bWxQSwECFAAUAAAACACHTuJAMy8F&#10;njsAAAA5AAAAEAAAAAAAAAABACAAAAAMAQAAZHJzL3NoYXBleG1sLnhtbFBLBQYAAAAABgAGAFsB&#10;AAC2AwAAAAA=&#10;" path="m121285,0c54356,0,0,54356,0,121286l0,606425c0,673354,54356,727710,121285,727710l1652905,727710c1719834,727710,1774190,673354,1774190,606425l1774190,121286c1774190,54356,1719834,0,1652905,0xe">
                  <v:fill on="f" focussize="0,0"/>
                  <v:stroke color="#000000" miterlimit="8" joinstyle="round" endcap="round"/>
                  <v:imagedata o:title=""/>
                  <o:lock v:ext="edit" aspectratio="f"/>
                </v:shape>
                <v:rect id="Rectangle 11800" o:spid="_x0000_s1026" o:spt="1" style="position:absolute;left:131699;top:67910;height:201943;width:45606;" filled="f" stroked="f" coordsize="21600,21600" o:gfxdata="UEsDBAoAAAAAAIdO4kAAAAAAAAAAAAAAAAAEAAAAZHJzL1BLAwQUAAAACACHTuJAtm1ptsAAAADe&#10;AAAADwAAAGRycy9kb3ducmV2LnhtbEWPQW/CMAyF75P2HyJP2m0k3QGVQkCIbYLjgEmMm9WYtqJx&#10;qiZQtl+PD5N2s+Xn9943W9x8q67UxyawhWxkQBGXwTVcWfjaf7zkoGJCdtgGJgs/FGExf3yYYeHC&#10;wFu67lKlxIRjgRbqlLpC61jW5DGOQkcst1PoPSZZ+0q7Hgcx961+NWasPTYsCTV2tKqpPO8u3sI6&#10;75bfm/A7VO37cX34PEze9pNk7fNTZqagEt3Sv/jve+OkfpYbARAcmUHP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bWm2&#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right="0" w:firstLine="0"/>
                        </w:pPr>
                        <w:r>
                          <w:rPr>
                            <w:rFonts w:ascii="Times New Roman" w:hAnsi="Times New Roman" w:eastAsia="Times New Roman" w:cs="Times New Roman"/>
                            <w:color w:val="FF0000"/>
                            <w:sz w:val="22"/>
                          </w:rPr>
                          <w:t xml:space="preserve"> </w:t>
                        </w:r>
                      </w:p>
                    </w:txbxContent>
                  </v:textbox>
                </v:rect>
                <v:rect id="Rectangle 11801" o:spid="_x0000_s1026" o:spt="1" style="position:absolute;left:269113;top:245983;height:182423;width:365265;" filled="f" stroked="f" coordsize="21600,21600" o:gfxdata="UEsDBAoAAAAAAIdO4kAAAAAAAAAAAAAAAAAEAAAAZHJzL1BLAwQUAAAACACHTuJA2SHMLb4AAADe&#10;AAAADwAAAGRycy9kb3ducmV2LnhtbEVPTWvCQBC9C/6HZYTedDc9SIxuQqkWPbZasN6G7JgEs7Mh&#10;uxrbX98tFLzN433OqrjbVtyo941jDclMgSAunWm40vB5eJumIHxANtg6Jg3f5KHIx6MVZsYN/EG3&#10;fahEDGGfoYY6hC6T0pc1WfQz1xFH7ux6iyHCvpKmxyGG21Y+KzWXFhuODTV29FpTedlfrYZt2r18&#10;7dzPULWb0/b4flysD4ug9dMkUUsQge7hIf5370ycn6Qqgb934g0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HML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right="0" w:firstLine="0"/>
                        </w:pPr>
                        <w:r>
                          <w:rPr>
                            <w:color w:val="FF0000"/>
                            <w:sz w:val="22"/>
                          </w:rPr>
                          <w:t>授权</w:t>
                        </w:r>
                      </w:p>
                    </w:txbxContent>
                  </v:textbox>
                </v:rect>
                <v:rect id="Rectangle 11802" o:spid="_x0000_s1026" o:spt="1" style="position:absolute;left:543814;top:245983;height:182423;width:913790;" filled="f" stroked="f" coordsize="21600,21600" o:gfxdata="UEsDBAoAAAAAAIdO4kAAAAAAAAAAAAAAAAAEAAAAZHJzL1BLAwQUAAAACACHTuJAKfNSWr0AAADe&#10;AAAADwAAAGRycy9kb3ducmV2LnhtbEVPTYvCMBC9C/6HMAveNKkHqV2jLKuiR1cXXG9DM7Zlm0lp&#10;olV//UYQ9jaP9zmzxc3W4kqtrxxrSEYKBHHuTMWFhu/DepiC8AHZYO2YNNzJw2Le780wM67jL7ru&#10;QyFiCPsMNZQhNJmUPi/Joh+5hjhyZ9daDBG2hTQtdjHc1nKs1ERarDg2lNjQZ0n57/5iNWzS5uNn&#10;6x5dUa9Om+PuOF0epkHrwVui3kEEuoV/8cu9NXF+kqoxPN+JN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81Ja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right="0" w:firstLine="0"/>
                        </w:pPr>
                        <w:r>
                          <w:rPr>
                            <w:color w:val="FF0000"/>
                            <w:sz w:val="22"/>
                          </w:rPr>
                          <w:t>代表身份证</w:t>
                        </w:r>
                      </w:p>
                    </w:txbxContent>
                  </v:textbox>
                </v:rect>
                <v:rect id="Rectangle 11803" o:spid="_x0000_s1026" o:spt="1" style="position:absolute;left:1230249;top:245983;height:182423;width:365264;" filled="f" stroked="f" coordsize="21600,21600" o:gfxdata="UEsDBAoAAAAAAIdO4kAAAAAAAAAAAAAAAAAEAAAAZHJzL1BLAwQUAAAACACHTuJARr/3wb4AAADe&#10;AAAADwAAAGRycy9kb3ducmV2LnhtbEVPTWvCQBC9F/wPywi91d1UKDG6EbEVPbYqqLchOybB7GzI&#10;bhPbX98tFHqbx/ucxfJuG9FT52vHGpKJAkFcOFNzqeF42DylIHxANtg4Jg1f5GGZjx4WmBk38Af1&#10;+1CKGMI+Qw1VCG0mpS8qsugnriWO3NV1FkOEXSlNh0MMt418VupFWqw5NlTY0rqi4rb/tBq2abs6&#10;79z3UDZvl+3p/TR7PcyC1o/jRM1BBLqHf/Gfe2fi/CRVU/h9J94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3w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right="0" w:firstLine="0"/>
                        </w:pPr>
                        <w:r>
                          <w:rPr>
                            <w:color w:val="FF0000"/>
                            <w:sz w:val="22"/>
                          </w:rPr>
                          <w:t>正面</w:t>
                        </w:r>
                      </w:p>
                    </w:txbxContent>
                  </v:textbox>
                </v:rect>
                <v:rect id="Rectangle 11804" o:spid="_x0000_s1026" o:spt="1" style="position:absolute;left:1505204;top:241646;height:201943;width:45606;" filled="f" stroked="f" coordsize="21600,21600" o:gfxdata="UEsDBAoAAAAAAIdO4kAAAAAAAAAAAAAAAAAEAAAAZHJzL1BLAwQUAAAACACHTuJAyVZvtb4AAADe&#10;AAAADwAAAGRycy9kb3ducmV2LnhtbEVPTWvCQBC9F/wPywi91d0UKTG6EbEVPbYqqLchOybB7GzI&#10;bhPbX98tFHqbx/ucxfJuG9FT52vHGpKJAkFcOFNzqeF42DylIHxANtg4Jg1f5GGZjx4WmBk38Af1&#10;+1CKGMI+Qw1VCG0mpS8qsugnriWO3NV1FkOEXSlNh0MMt418VupFWqw5NlTY0rqi4rb/tBq2abs6&#10;79z3UDZvl+3p/TR7PcyC1o/jRM1BBLqHf/Gfe2fi/CRVU/h9J94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VZvt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right="0" w:firstLine="0"/>
                        </w:pPr>
                        <w:r>
                          <w:rPr>
                            <w:rFonts w:ascii="Times New Roman" w:hAnsi="Times New Roman" w:eastAsia="Times New Roman" w:cs="Times New Roman"/>
                            <w:color w:val="FF0000"/>
                            <w:sz w:val="22"/>
                          </w:rPr>
                          <w:t xml:space="preserve"> </w:t>
                        </w:r>
                      </w:p>
                    </w:txbxContent>
                  </v:textbox>
                </v:rect>
                <v:rect id="Rectangle 11805" o:spid="_x0000_s1026" o:spt="1" style="position:absolute;left:680974;top:428864;height:182422;width:548106;" filled="f" stroked="f" coordsize="21600,21600" o:gfxdata="UEsDBAoAAAAAAIdO4kAAAAAAAAAAAAAAAAAEAAAAZHJzL1BLAwQUAAAACACHTuJAphrKLr4AAADe&#10;AAAADwAAAGRycy9kb3ducmV2LnhtbEVPTWvCQBC9F/wPywi91d0ULDG6EbEVPbYqqLchOybB7GzI&#10;bhPbX98tFHqbx/ucxfJuG9FT52vHGpKJAkFcOFNzqeF42DylIHxANtg4Jg1f5GGZjx4WmBk38Af1&#10;+1CKGMI+Qw1VCG0mpS8qsugnriWO3NV1FkOEXSlNh0MMt418VupFWqw5NlTY0rqi4rb/tBq2abs6&#10;79z3UDZvl+3p/TR7PcyC1o/jRM1BBLqHf/Gfe2fi/CRVU/h9J94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rKLr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right="0" w:firstLine="0"/>
                        </w:pPr>
                        <w:r>
                          <w:rPr>
                            <w:color w:val="FF0000"/>
                            <w:sz w:val="22"/>
                          </w:rPr>
                          <w:t>扫描件</w:t>
                        </w:r>
                      </w:p>
                    </w:txbxContent>
                  </v:textbox>
                </v:rect>
                <v:rect id="Rectangle 11806" o:spid="_x0000_s1026" o:spt="1" style="position:absolute;left:1093089;top:424526;height:201941;width:45606;" filled="f" stroked="f" coordsize="21600,21600" o:gfxdata="UEsDBAoAAAAAAIdO4kAAAAAAAAAAAAAAAAAEAAAAZHJzL1BLAwQUAAAACACHTuJAVshUWb8AAADe&#10;AAAADwAAAGRycy9kb3ducmV2LnhtbEVPS2vCQBC+C/0Pywi96W56kBjdhGJb9FgfEHsbstMkNDsb&#10;sltj++vdQsHbfHzPWRdX24kLDb51rCGZKxDElTMt1xpOx7dZCsIHZIOdY9LwQx6K/GGyxsy4kfd0&#10;OYRaxBD2GWpoQugzKX3VkEU/dz1x5D7dYDFEONTSDDjGcNvJJ6UW0mLLsaHBnjYNVV+Hb6thm/bP&#10;5537Hevu9WNbvpfLl+MyaP04TdQKRKBruIv/3TsT5yepWsDfO/EGm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IVFm/&#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right="0" w:firstLine="0"/>
                        </w:pPr>
                        <w:r>
                          <w:rPr>
                            <w:rFonts w:ascii="Times New Roman" w:hAnsi="Times New Roman" w:eastAsia="Times New Roman" w:cs="Times New Roman"/>
                            <w:color w:val="FF0000"/>
                            <w:sz w:val="22"/>
                          </w:rPr>
                          <w:t xml:space="preserve"> </w:t>
                        </w:r>
                      </w:p>
                    </w:txbxContent>
                  </v:textbox>
                </v:rect>
                <v:shape id="Shape 11808" o:spid="_x0000_s1026" o:spt="100" style="position:absolute;left:2085975;top:0;height:727710;width:1774190;" filled="f" stroked="t" coordsize="1774190,727710" o:gfxdata="UEsDBAoAAAAAAIdO4kAAAAAAAAAAAAAAAAAEAAAAZHJzL1BLAwQUAAAACACHTuJAF4IOlsAAAADe&#10;AAAADwAAAGRycy9kb3ducmV2LnhtbEWPT0sDMRDF74LfIYzgzSbrodRt04KWgpeluJaeh83sH9xM&#10;tklsaz+9cxC8zfDevPeb1ebqR3WmmIbAFoqZAUXcBDdwZ+HwuXtagEoZ2eEYmCz8UILN+v5uhaUL&#10;F/6gc507JSGcSrTQ5zyVWqemJ49pFiZi0doQPWZZY6ddxIuE+1E/GzPXHgeWhh4neuup+aq/vYVm&#10;+1rHo7m9nHYtbfdVNW8rPFn7+FCYJahM1/xv/rt+d4JfLIzwyjsyg1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gg6W&#10;wAAAAN4AAAAPAAAAAAAAAAEAIAAAACIAAABkcnMvZG93bnJldi54bWxQSwECFAAUAAAACACHTuJA&#10;My8FnjsAAAA5AAAAEAAAAAAAAAABACAAAAAPAQAAZHJzL3NoYXBleG1sLnhtbFBLBQYAAAAABgAG&#10;AFsBAAC5AwAAAAA=&#10;" path="m121285,0c54356,0,0,54356,0,121286l0,606425c0,673354,54356,727710,121285,727710l1652905,727710c1719834,727710,1774190,673354,1774190,606425l1774190,121286c1774190,54356,1719834,0,1652905,0xe">
                  <v:fill on="f" focussize="0,0"/>
                  <v:stroke color="#000000" miterlimit="8" joinstyle="round" endcap="round"/>
                  <v:imagedata o:title=""/>
                  <o:lock v:ext="edit" aspectratio="f"/>
                </v:shape>
                <v:rect id="Rectangle 11809" o:spid="_x0000_s1026" o:spt="1" style="position:absolute;left:2219071;top:67910;height:201943;width:45606;" filled="f" stroked="f" coordsize="21600,21600" o:gfxdata="UEsDBAoAAAAAAIdO4kAAAAAAAAAAAAAAAAAEAAAAZHJzL1BLAwQUAAAACACHTuJAJ1fAK70AAADe&#10;AAAADwAAAGRycy9kb3ducmV2LnhtbEVPTWvCQBC9F/wPywi91d30IEnqKqIWPVoVtLchOybB7GzI&#10;rsb667uFgrd5vM+ZzO62ETfqfO1YQzJSIIgLZ2ouNRz2n28pCB+QDTaOScMPeZhNBy8TzI3r+Ytu&#10;u1CKGMI+Rw1VCG0upS8qsuhHriWO3Nl1FkOEXSlNh30Mt418V2osLdYcGypsaVFRcdldrYZ12s5P&#10;G/foy2b1vT5uj9lynwWtX4eJ+gAR6B6e4n/3xsT5Saoy+Hsn3iC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V8Ar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right="0" w:firstLine="0"/>
                        </w:pPr>
                        <w:r>
                          <w:rPr>
                            <w:rFonts w:ascii="Times New Roman" w:hAnsi="Times New Roman" w:eastAsia="Times New Roman" w:cs="Times New Roman"/>
                            <w:color w:val="FF0000"/>
                            <w:sz w:val="22"/>
                          </w:rPr>
                          <w:t xml:space="preserve"> </w:t>
                        </w:r>
                      </w:p>
                    </w:txbxContent>
                  </v:textbox>
                </v:rect>
                <v:rect id="Rectangle 11810" o:spid="_x0000_s1026" o:spt="1" style="position:absolute;left:2356485;top:245983;height:182423;width:1279473;" filled="f" stroked="f" coordsize="21600,21600" o:gfxdata="UEsDBAoAAAAAAIdO4kAAAAAAAAAAAAAAAAAEAAAAZHJzL1BLAwQUAAAACACHTuJAM7T/a8EAAADe&#10;AAAADwAAAGRycy9kb3ducmV2LnhtbEWPzW7CQAyE75V4h5WRuJVNekAhZUFVoYIjP5Vob1bWJBFZ&#10;b5RdCPD0+FCpN1sez8w3W9xco67UhdqzgXScgCIuvK25NPB9+HrNQIWIbLHxTAbuFGAxH7zMMLe+&#10;5x1d97FUYsIhRwNVjG2udSgqchjGviWW28l3DqOsXalth72Yu0a/JclEO6xZEips6bOi4ry/OAPr&#10;rP342fhHXzar3/Vxe5wuD9NozGiYJu+gIt3iv/jve2OlfpqlAiA4MoOeP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7T/&#10;a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right="0" w:firstLine="0"/>
                        </w:pPr>
                        <w:r>
                          <w:rPr>
                            <w:color w:val="FF0000"/>
                            <w:sz w:val="22"/>
                          </w:rPr>
                          <w:t>授权代表身份证</w:t>
                        </w:r>
                      </w:p>
                    </w:txbxContent>
                  </v:textbox>
                </v:rect>
                <v:rect id="Rectangle 11811" o:spid="_x0000_s1026" o:spt="1" style="position:absolute;left:3317875;top:245983;height:182423;width:365264;" filled="f" stroked="f" coordsize="21600,21600" o:gfxdata="UEsDBAoAAAAAAIdO4kAAAAAAAAAAAAAAAAAEAAAAZHJzL1BLAwQUAAAACACHTuJAXPha8L0AAADe&#10;AAAADwAAAGRycy9kb3ducmV2LnhtbEVPTWvCQBC9C/6HZYTedLMeJKauUqqix6qFtLchO01Cs7Mh&#10;uxrbX+8Kgrd5vM9ZrK62ERfqfO1Yg5okIIgLZ2ouNXyetuMUhA/IBhvHpOGPPKyWw8ECM+N6PtDl&#10;GEoRQ9hnqKEKoc2k9EVFFv3EtcSR+3GdxRBhV0rTYR/DbSOnSTKTFmuODRW29F5R8Xs8Ww27tH37&#10;2rv/vmw237v8I5+vT/Og9ctIJa8gAl3DU/xw702cr1Kl4P5OvEE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Frw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right="0" w:firstLine="0"/>
                        </w:pPr>
                        <w:r>
                          <w:rPr>
                            <w:color w:val="FF0000"/>
                            <w:sz w:val="22"/>
                          </w:rPr>
                          <w:t>反面</w:t>
                        </w:r>
                      </w:p>
                    </w:txbxContent>
                  </v:textbox>
                </v:rect>
                <v:rect id="Rectangle 11812" o:spid="_x0000_s1026" o:spt="1" style="position:absolute;left:3592576;top:241646;height:201943;width:45606;" filled="f" stroked="f" coordsize="21600,21600" o:gfxdata="UEsDBAoAAAAAAIdO4kAAAAAAAAAAAAAAAAAEAAAAZHJzL1BLAwQUAAAACACHTuJArCrEh70AAADe&#10;AAAADwAAAGRycy9kb3ducmV2LnhtbEVPS4vCMBC+C/6HMMLeNK0HqdUo4gM9+ljQvQ3NbFtsJqWJ&#10;1vXXG0HY23x8z5nOH6YSd2pcaVlBPIhAEGdWl5wr+D5t+gkI55E1VpZJwR85mM+6nSmm2rZ8oPvR&#10;5yKEsEtRQeF9nUrpsoIMuoGtiQP3axuDPsAml7rBNoSbSg6jaCQNlhwaCqxpWVB2Pd6Mgm1SLy47&#10;+2zzav2zPe/P49Vp7JX66sXRBISnh/8Xf9w7HebHSTyE9zvhBj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KsSH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right="0" w:firstLine="0"/>
                        </w:pPr>
                        <w:r>
                          <w:rPr>
                            <w:rFonts w:ascii="Times New Roman" w:hAnsi="Times New Roman" w:eastAsia="Times New Roman" w:cs="Times New Roman"/>
                            <w:color w:val="FF0000"/>
                            <w:sz w:val="22"/>
                          </w:rPr>
                          <w:t xml:space="preserve"> </w:t>
                        </w:r>
                      </w:p>
                    </w:txbxContent>
                  </v:textbox>
                </v:rect>
                <v:rect id="Rectangle 11813" o:spid="_x0000_s1026" o:spt="1" style="position:absolute;left:2768346;top:428864;height:182422;width:548106;" filled="f" stroked="f" coordsize="21600,21600" o:gfxdata="UEsDBAoAAAAAAIdO4kAAAAAAAAAAAAAAAAAEAAAAZHJzL1BLAwQUAAAACACHTuJAw2ZhHL0AAADe&#10;AAAADwAAAGRycy9kb3ducmV2LnhtbEVPTYvCMBC9C/6HMII3TbuC1GoUcRU97qqg3oZmbIvNpDTR&#10;qr9+s7Cwt3m8z5ktnqYSD2pcaVlBPIxAEGdWl5wrOB42gwSE88gaK8uk4EUOFvNuZ4apti1/02Pv&#10;cxFC2KWooPC+TqV0WUEG3dDWxIG72sagD7DJpW6wDeGmkh9RNJYGSw4NBda0Kii77e9GwTapl+ed&#10;fbd5tb5sT1+nyedh4pXq9+JoCsLT0/+L/9w7HebHSTyC33fCD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ZmEc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right="0" w:firstLine="0"/>
                        </w:pPr>
                        <w:r>
                          <w:rPr>
                            <w:color w:val="FF0000"/>
                            <w:sz w:val="22"/>
                          </w:rPr>
                          <w:t>扫描件</w:t>
                        </w:r>
                      </w:p>
                    </w:txbxContent>
                  </v:textbox>
                </v:rect>
                <v:rect id="Rectangle 11814" o:spid="_x0000_s1026" o:spt="1" style="position:absolute;left:3180461;top:424526;height:201941;width:45606;" filled="f" stroked="f" coordsize="21600,21600" o:gfxdata="UEsDBAoAAAAAAIdO4kAAAAAAAAAAAAAAAAAEAAAAZHJzL1BLAwQUAAAACACHTuJATI/5aL0AAADe&#10;AAAADwAAAGRycy9kb3ducmV2LnhtbEVPTYvCMBC9C/6HMII3TbuI1GoUcRU97qqg3oZmbIvNpDTR&#10;qr9+s7Cwt3m8z5ktnqYSD2pcaVlBPIxAEGdWl5wrOB42gwSE88gaK8uk4EUOFvNuZ4apti1/02Pv&#10;cxFC2KWooPC+TqV0WUEG3dDWxIG72sagD7DJpW6wDeGmkh9RNJYGSw4NBda0Kii77e9GwTapl+ed&#10;fbd5tb5sT1+nyedh4pXq9+JoCsLT0/+L/9w7HebHSTyC33fCD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j/lo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right="0" w:firstLine="0"/>
                        </w:pPr>
                        <w:r>
                          <w:rPr>
                            <w:rFonts w:ascii="Times New Roman" w:hAnsi="Times New Roman" w:eastAsia="Times New Roman" w:cs="Times New Roman"/>
                            <w:color w:val="FF0000"/>
                            <w:sz w:val="22"/>
                          </w:rPr>
                          <w:t xml:space="preserve"> </w:t>
                        </w:r>
                      </w:p>
                    </w:txbxContent>
                  </v:textbox>
                </v:rect>
                <w10:wrap type="square"/>
              </v:group>
            </w:pict>
          </mc:Fallback>
        </mc:AlternateContent>
      </w:r>
      <w:r>
        <w:t xml:space="preserve">特此声明。 </w:t>
      </w:r>
    </w:p>
    <w:p>
      <w:pPr>
        <w:spacing w:after="219" w:line="240" w:lineRule="auto"/>
        <w:ind w:left="187" w:right="1571" w:firstLine="0"/>
      </w:pPr>
      <w:r>
        <w:t xml:space="preserve"> </w:t>
      </w:r>
    </w:p>
    <w:p>
      <w:pPr>
        <w:spacing w:line="240" w:lineRule="auto"/>
        <w:ind w:left="187" w:right="1571" w:firstLine="0"/>
      </w:pPr>
      <w:r>
        <w:t xml:space="preserve"> </w:t>
      </w:r>
    </w:p>
    <w:p>
      <w:r>
        <w:t>投标人电子签章：</w:t>
      </w:r>
      <w:r>
        <w:rPr>
          <w:u w:val="single" w:color="000000"/>
        </w:rPr>
        <w:t xml:space="preserve">                    </w:t>
      </w:r>
      <w:r>
        <w:t xml:space="preserve"> </w:t>
      </w:r>
    </w:p>
    <w:p>
      <w:r>
        <w:t>日           期：</w:t>
      </w:r>
      <w:r>
        <w:rPr>
          <w:u w:val="single" w:color="000000"/>
        </w:rPr>
        <w:t xml:space="preserve">                   </w:t>
      </w:r>
      <w:r>
        <w:t xml:space="preserve"> </w:t>
      </w:r>
    </w:p>
    <w:p>
      <w:pPr>
        <w:spacing w:after="70" w:line="240" w:lineRule="auto"/>
        <w:ind w:left="187" w:right="0" w:firstLine="0"/>
      </w:pPr>
      <w:r>
        <w:rPr>
          <w:sz w:val="27"/>
        </w:rPr>
        <w:t xml:space="preserve"> </w:t>
      </w:r>
    </w:p>
    <w:p>
      <w:r>
        <w:t xml:space="preserve">注： </w:t>
      </w:r>
    </w:p>
    <w:p>
      <w:r>
        <w:t xml:space="preserve">1.本项目只允许有唯一的投标人授权代表，响应文件中提供授权代表身份证扫描件。 </w:t>
      </w:r>
    </w:p>
    <w:p>
      <w:r>
        <w:t xml:space="preserve">2.法定代表人参加招标的无需此件，但响应文件中须提供法定代表人身份证扫描件。 </w:t>
      </w:r>
    </w:p>
    <w:p>
      <w:pPr>
        <w:spacing w:after="218" w:line="240" w:lineRule="auto"/>
        <w:ind w:left="187" w:right="0" w:firstLine="0"/>
      </w:pPr>
      <w:r>
        <w:t xml:space="preserve"> </w:t>
      </w:r>
    </w:p>
    <w:p>
      <w:pPr>
        <w:spacing w:line="240" w:lineRule="auto"/>
        <w:ind w:left="187" w:right="0" w:firstLine="0"/>
      </w:pPr>
      <w:r>
        <w:t xml:space="preserve"> </w:t>
      </w:r>
    </w:p>
    <w:p>
      <w:pPr>
        <w:spacing w:after="219" w:line="240" w:lineRule="auto"/>
        <w:ind w:left="187" w:right="0" w:firstLine="0"/>
      </w:pPr>
      <w:r>
        <w:t xml:space="preserve"> </w:t>
      </w:r>
    </w:p>
    <w:p>
      <w:pPr>
        <w:spacing w:line="240" w:lineRule="auto"/>
        <w:ind w:left="187" w:right="0" w:firstLine="0"/>
      </w:pPr>
      <w:r>
        <w:t xml:space="preserve"> </w:t>
      </w:r>
    </w:p>
    <w:p>
      <w:pPr>
        <w:spacing w:after="219" w:line="240" w:lineRule="auto"/>
        <w:ind w:left="187" w:right="0" w:firstLine="0"/>
      </w:pPr>
      <w:r>
        <w:t xml:space="preserve"> </w:t>
      </w:r>
    </w:p>
    <w:p>
      <w:pPr>
        <w:spacing w:line="240" w:lineRule="auto"/>
        <w:ind w:left="187" w:right="0" w:firstLine="0"/>
      </w:pPr>
      <w:r>
        <w:t xml:space="preserve"> </w:t>
      </w:r>
    </w:p>
    <w:p>
      <w:pPr>
        <w:spacing w:after="219" w:line="240" w:lineRule="auto"/>
        <w:ind w:left="187" w:right="0" w:firstLine="0"/>
      </w:pPr>
      <w:r>
        <w:t xml:space="preserve"> </w:t>
      </w:r>
    </w:p>
    <w:p>
      <w:pPr>
        <w:spacing w:after="205" w:line="240" w:lineRule="auto"/>
        <w:ind w:left="187" w:right="0" w:firstLine="0"/>
      </w:pPr>
      <w:r>
        <w:t xml:space="preserve"> </w:t>
      </w:r>
    </w:p>
    <w:p>
      <w:pPr>
        <w:spacing w:after="219" w:line="240" w:lineRule="auto"/>
        <w:ind w:left="187" w:right="0" w:firstLine="0"/>
      </w:pPr>
      <w:r>
        <w:t xml:space="preserve"> </w:t>
      </w:r>
    </w:p>
    <w:p>
      <w:pPr>
        <w:spacing w:after="0" w:line="240" w:lineRule="auto"/>
        <w:ind w:left="187" w:right="0" w:firstLine="0"/>
      </w:pPr>
      <w:r>
        <w:t xml:space="preserve"> </w:t>
      </w:r>
    </w:p>
    <w:p>
      <w:pPr>
        <w:pStyle w:val="3"/>
        <w:spacing w:after="744" w:line="439" w:lineRule="auto"/>
        <w:ind w:right="2489"/>
        <w:jc w:val="right"/>
      </w:pPr>
      <w:bookmarkStart w:id="21" w:name="_Toc87528843"/>
      <w:r>
        <w:t>十一.投标人认为需提供的其他资料</w:t>
      </w:r>
      <w:bookmarkEnd w:id="21"/>
      <w:r>
        <w:t xml:space="preserve"> </w:t>
      </w:r>
    </w:p>
    <w:p>
      <w:pPr>
        <w:spacing w:after="86"/>
      </w:pPr>
      <w:r>
        <w:rPr>
          <w:sz w:val="30"/>
        </w:rPr>
        <w:t xml:space="preserve">               </w:t>
      </w:r>
      <w:r>
        <w:t xml:space="preserve">        （投标人可自行制作格式）</w:t>
      </w:r>
      <w:r>
        <w:rPr>
          <w:rFonts w:ascii="Times New Roman" w:hAnsi="Times New Roman" w:eastAsia="Times New Roman" w:cs="Times New Roman"/>
          <w:sz w:val="22"/>
        </w:rPr>
        <w:t xml:space="preserve"> </w:t>
      </w:r>
    </w:p>
    <w:p>
      <w:pPr>
        <w:spacing w:after="46" w:line="240" w:lineRule="auto"/>
        <w:ind w:left="187" w:right="0" w:firstLine="0"/>
      </w:pPr>
      <w:r>
        <w:t xml:space="preserve"> </w:t>
      </w:r>
    </w:p>
    <w:p>
      <w:pPr>
        <w:spacing w:after="60" w:line="240" w:lineRule="auto"/>
        <w:ind w:left="187" w:right="0" w:firstLine="0"/>
      </w:pPr>
      <w:r>
        <w:t xml:space="preserve"> </w:t>
      </w:r>
    </w:p>
    <w:p>
      <w:pPr>
        <w:spacing w:after="60" w:line="240" w:lineRule="auto"/>
        <w:ind w:left="187" w:right="0" w:firstLine="0"/>
      </w:pPr>
      <w:r>
        <w:t xml:space="preserve"> </w:t>
      </w:r>
    </w:p>
    <w:p>
      <w:pPr>
        <w:spacing w:after="46" w:line="240" w:lineRule="auto"/>
        <w:ind w:left="187" w:right="0" w:firstLine="0"/>
      </w:pPr>
      <w:r>
        <w:t xml:space="preserve"> </w:t>
      </w:r>
    </w:p>
    <w:p>
      <w:pPr>
        <w:spacing w:after="61" w:line="240" w:lineRule="auto"/>
        <w:ind w:left="187" w:right="0" w:firstLine="0"/>
      </w:pPr>
      <w:r>
        <w:t xml:space="preserve"> </w:t>
      </w:r>
    </w:p>
    <w:p>
      <w:pPr>
        <w:spacing w:after="60" w:line="240" w:lineRule="auto"/>
        <w:ind w:left="187" w:right="0" w:firstLine="0"/>
      </w:pPr>
      <w:r>
        <w:t xml:space="preserve"> </w:t>
      </w:r>
    </w:p>
    <w:p>
      <w:pPr>
        <w:spacing w:after="46" w:line="240" w:lineRule="auto"/>
        <w:ind w:left="187" w:right="0" w:firstLine="0"/>
      </w:pPr>
      <w:r>
        <w:t xml:space="preserve"> </w:t>
      </w:r>
    </w:p>
    <w:p>
      <w:pPr>
        <w:spacing w:after="0" w:line="240" w:lineRule="auto"/>
        <w:ind w:left="187" w:right="0" w:firstLine="0"/>
      </w:pPr>
      <w:r>
        <w:t xml:space="preserve"> </w:t>
      </w:r>
    </w:p>
    <w:sectPr>
      <w:headerReference r:id="rId7" w:type="first"/>
      <w:footerReference r:id="rId10" w:type="first"/>
      <w:headerReference r:id="rId5" w:type="default"/>
      <w:footerReference r:id="rId8" w:type="default"/>
      <w:headerReference r:id="rId6" w:type="even"/>
      <w:footerReference r:id="rId9" w:type="even"/>
      <w:pgSz w:w="11909" w:h="16834"/>
      <w:pgMar w:top="1418" w:right="1064" w:bottom="1440" w:left="1067" w:header="827" w:footer="10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0" w:firstLine="0"/>
      <w:jc w:val="center"/>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0" w:firstLine="0"/>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0" w:firstLine="0"/>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6" w:lineRule="auto"/>
      </w:pPr>
      <w:r>
        <w:separator/>
      </w:r>
    </w:p>
  </w:footnote>
  <w:footnote w:type="continuationSeparator" w:id="1">
    <w:p>
      <w:pPr>
        <w:spacing w:before="0" w:after="0" w:line="24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40" w:lineRule="auto"/>
      <w:ind w:left="0" w:right="0" w:firstLine="0"/>
    </w:pPr>
  </w:p>
  <w:p>
    <w:pPr>
      <w:spacing w:after="0" w:line="276" w:lineRule="auto"/>
      <w:ind w:left="0" w:right="0" w:firstLine="0"/>
      <w:jc w:val="right"/>
    </w:pPr>
    <w:r>
      <w:rPr>
        <w:sz w:val="22"/>
      </w:rPr>
      <mc:AlternateContent>
        <mc:Choice Requires="wpg">
          <w:drawing>
            <wp:anchor distT="0" distB="0" distL="114300" distR="114300" simplePos="0" relativeHeight="251660288" behindDoc="0" locked="0" layoutInCell="1" allowOverlap="1">
              <wp:simplePos x="0" y="0"/>
              <wp:positionH relativeFrom="page">
                <wp:posOffset>777875</wp:posOffset>
              </wp:positionH>
              <wp:positionV relativeFrom="page">
                <wp:posOffset>713740</wp:posOffset>
              </wp:positionV>
              <wp:extent cx="6024245" cy="8890"/>
              <wp:effectExtent l="0" t="0" r="0" b="0"/>
              <wp:wrapSquare wrapText="bothSides"/>
              <wp:docPr id="62715" name="Group 62715"/>
              <wp:cNvGraphicFramePr/>
              <a:graphic xmlns:a="http://schemas.openxmlformats.org/drawingml/2006/main">
                <a:graphicData uri="http://schemas.microsoft.com/office/word/2010/wordprocessingGroup">
                  <wpg:wgp>
                    <wpg:cNvGrpSpPr/>
                    <wpg:grpSpPr>
                      <a:xfrm>
                        <a:off x="0" y="0"/>
                        <a:ext cx="6023991" cy="9144"/>
                        <a:chOff x="0" y="0"/>
                        <a:chExt cx="6023991" cy="9144"/>
                      </a:xfrm>
                    </wpg:grpSpPr>
                    <wps:wsp>
                      <wps:cNvPr id="68924" name="Shape 68924"/>
                      <wps:cNvSpPr/>
                      <wps:spPr>
                        <a:xfrm>
                          <a:off x="0" y="0"/>
                          <a:ext cx="6023991" cy="9144"/>
                        </a:xfrm>
                        <a:custGeom>
                          <a:avLst/>
                          <a:gdLst/>
                          <a:ahLst/>
                          <a:cxnLst/>
                          <a:rect l="0" t="0" r="0" b="0"/>
                          <a:pathLst>
                            <a:path w="6023991" h="9144">
                              <a:moveTo>
                                <a:pt x="0" y="0"/>
                              </a:moveTo>
                              <a:lnTo>
                                <a:pt x="6023991" y="0"/>
                              </a:lnTo>
                              <a:lnTo>
                                <a:pt x="602399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62715" o:spid="_x0000_s1026" o:spt="203" style="position:absolute;left:0pt;margin-left:61.25pt;margin-top:56.2pt;height:0.7pt;width:474.35pt;mso-position-horizontal-relative:page;mso-position-vertical-relative:page;mso-wrap-distance-bottom:0pt;mso-wrap-distance-left:9pt;mso-wrap-distance-right:9pt;mso-wrap-distance-top:0pt;z-index:251660288;mso-width-relative:page;mso-height-relative:page;" coordsize="6023991,9144" o:gfxdata="UEsDBAoAAAAAAIdO4kAAAAAAAAAAAAAAAAAEAAAAZHJzL1BLAwQUAAAACACHTuJAcgCU99oAAAAM&#10;AQAADwAAAGRycy9kb3ducmV2LnhtbE2PzU7DMBCE70i8g7VI3Kh/SqEKcSpUAacKqS0S4ubG2yRq&#10;vI5iN2nfHucEt53d0ew3+eriWjZgHxpPGuRMAEMqvW2o0vC1f39YAgvRkDWtJ9RwxQCr4vYmN5n1&#10;I21x2MWKpRAKmdFQx9hlnIeyRmfCzHdI6Xb0vTMxyb7itjdjCnctV0I8cWcaSh9q0+G6xvK0OzsN&#10;H6MZX+fybdicjuvrz37x+b2RqPX9nRQvwCJe4p8ZJvyEDkViOvgz2cDapJVaJGsapHoENjnEs1TA&#10;DtNqvgRe5Px/ieIXUEsDBBQAAAAIAIdO4kBrm4GeTAIAAOIFAAAOAAAAZHJzL2Uyb0RvYy54bWyl&#10;VNtu2zAMfR+wfxD0vjjJsrQxkvRhWfMybAXafYAiy7YA3SApcfr3o+hLvBTritUPNi0dUjyHFNd3&#10;Z63ISfggrdnQ2WRKiTDcFtJUG/rr6f7TLSUhMlMwZY3Y0GcR6N3244d143Ixt7VVhfAEgpiQN25D&#10;6xhdnmWB10KzMLFOGNgsrdcswq+vssKzBqJrlc2n02XWWF84b7kIAVZ37SbtIvq3BLRlKbnYWX7U&#10;wsQ2qheKRaAUaukC3WK2ZSl4/FmWQUSiNhSYRnzDIWAf0jvbrlleeeZqybsU2FtSuOKkmTRw6BBq&#10;xyIjRy9fhNKSextsGSfc6qwlgooAi9n0Spu9t0eHXKq8qdwgOhTqSvX/Dst/nB48kcWGLuc3sy+U&#10;GKah6HgyaZdAosZVOSD33j26B98tVO1fYn0uvU5f4EPOKO7zIK44R8JhcTmdf16tZpRw2FvNFotW&#10;e15DgV448frba25Zf2SWMhsSaRy0ZLjoFN6n02PNnED5Q2Lf63S7mi96nRBClriEsiByECnkAfR6&#10;l0IDVZbzY4h7YVFpdvoeYtu8RW+xurf42fSmhyvwavM7FpNfSjKZpBmVqu4qlTa1PYkni7B4VS/I&#10;8bKrzBg1VL1vCMD2iP7rMN4Y2bfHX8FwfUdd9A8Y3vIBA0biuV13BnIHe6xusEoW91KpRDf46vBV&#10;eXJiaYbgk1oXXP6AKZOkg8Q4g6lYwjTCgaBlhHGppIZZO78B785XGQiRGrbtkGQdbPGMtwvXoZER&#10;gVcfj+vGVJot439EXUbz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yAJT32gAAAAwBAAAPAAAA&#10;AAAAAAEAIAAAACIAAABkcnMvZG93bnJldi54bWxQSwECFAAUAAAACACHTuJAa5uBnkwCAADiBQAA&#10;DgAAAAAAAAABACAAAAApAQAAZHJzL2Uyb0RvYy54bWxQSwUGAAAAAAYABgBZAQAA5wUAAAAA&#10;">
              <o:lock v:ext="edit" aspectratio="f"/>
              <v:shape id="Shape 68924" o:spid="_x0000_s1026" o:spt="100" style="position:absolute;left:0;top:0;height:9144;width:6023991;" fillcolor="#000000" filled="t" stroked="f" coordsize="6023991,9144" o:gfxdata="UEsDBAoAAAAAAIdO4kAAAAAAAAAAAAAAAAAEAAAAZHJzL1BLAwQUAAAACACHTuJAY9RgIb8AAADe&#10;AAAADwAAAGRycy9kb3ducmV2LnhtbEWPT2vCQBTE7wW/w/KE3upGW8Wmrh4EafFmWtDjI/uahGbf&#10;xt1n/PPpu0Khx2FmfsMsVhfXqp5CbDwbGI8yUMSltw1XBr4+N09zUFGQLbaeycCVIqyWg4cF5taf&#10;eUd9IZVKEI45GqhFulzrWNbkMI58R5y8bx8cSpKh0jbgOcFdqydZNtMOG04LNXa0rqn8KU7OAIWj&#10;l311wC2/i+1vWEynz1djHofj7A2U0EX+w3/tD2tgNn+dvMD9TroC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UYCG/&#10;AAAA3gAAAA8AAAAAAAAAAQAgAAAAIgAAAGRycy9kb3ducmV2LnhtbFBLAQIUABQAAAAIAIdO4kAz&#10;LwWeOwAAADkAAAAQAAAAAAAAAAEAIAAAAA4BAABkcnMvc2hhcGV4bWwueG1sUEsFBgAAAAAGAAYA&#10;WwEAALgDAAAAAA==&#10;" path="m0,0l6023991,0,6023991,9144,0,9144,0,0e">
                <v:fill on="t" focussize="0,0"/>
                <v:stroke on="f" weight="0pt" miterlimit="1" joinstyle="miter"/>
                <v:imagedata o:title=""/>
                <o:lock v:ext="edit" aspectratio="f"/>
              </v:shape>
              <w10:wrap type="squar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40" w:lineRule="auto"/>
      <w:ind w:left="0" w:right="0" w:firstLine="0"/>
    </w:pPr>
    <w:r>
      <w:rPr>
        <w:sz w:val="19"/>
      </w:rPr>
      <w:t>合肥市产权交易中心竞争性磋商文件</w:t>
    </w:r>
    <w:r>
      <w:rPr>
        <w:rFonts w:ascii="Times New Roman" w:hAnsi="Times New Roman" w:eastAsia="Times New Roman" w:cs="Times New Roman"/>
        <w:sz w:val="19"/>
      </w:rPr>
      <w:t>—</w:t>
    </w:r>
    <w:r>
      <w:rPr>
        <w:sz w:val="19"/>
      </w:rPr>
      <w:t>服务类</w:t>
    </w:r>
    <w:r>
      <w:rPr>
        <w:rFonts w:ascii="Times New Roman" w:hAnsi="Times New Roman" w:eastAsia="Times New Roman" w:cs="Times New Roman"/>
        <w:color w:val="FF0000"/>
        <w:sz w:val="19"/>
      </w:rPr>
      <w:t>20210113</w:t>
    </w:r>
    <w:r>
      <w:rPr>
        <w:sz w:val="19"/>
      </w:rPr>
      <w:t>版（网招）</w:t>
    </w:r>
    <w:r>
      <w:rPr>
        <w:color w:val="0000FF"/>
      </w:rPr>
      <w:t xml:space="preserve"> </w:t>
    </w:r>
  </w:p>
  <w:p>
    <w:pPr>
      <w:spacing w:after="0" w:line="276" w:lineRule="auto"/>
      <w:ind w:left="0" w:right="0" w:firstLine="0"/>
      <w:jc w:val="right"/>
    </w:pPr>
    <w:r>
      <w:rPr>
        <w:sz w:val="22"/>
      </w:rPr>
      <mc:AlternateContent>
        <mc:Choice Requires="wpg">
          <w:drawing>
            <wp:anchor distT="0" distB="0" distL="114300" distR="114300" simplePos="0" relativeHeight="251659264" behindDoc="0" locked="0" layoutInCell="1" allowOverlap="1">
              <wp:simplePos x="0" y="0"/>
              <wp:positionH relativeFrom="page">
                <wp:posOffset>777875</wp:posOffset>
              </wp:positionH>
              <wp:positionV relativeFrom="page">
                <wp:posOffset>713740</wp:posOffset>
              </wp:positionV>
              <wp:extent cx="6024245" cy="8890"/>
              <wp:effectExtent l="0" t="0" r="0" b="0"/>
              <wp:wrapSquare wrapText="bothSides"/>
              <wp:docPr id="62750" name="Group 62750"/>
              <wp:cNvGraphicFramePr/>
              <a:graphic xmlns:a="http://schemas.openxmlformats.org/drawingml/2006/main">
                <a:graphicData uri="http://schemas.microsoft.com/office/word/2010/wordprocessingGroup">
                  <wpg:wgp>
                    <wpg:cNvGrpSpPr/>
                    <wpg:grpSpPr>
                      <a:xfrm>
                        <a:off x="0" y="0"/>
                        <a:ext cx="6023991" cy="9144"/>
                        <a:chOff x="0" y="0"/>
                        <a:chExt cx="6023991" cy="9144"/>
                      </a:xfrm>
                    </wpg:grpSpPr>
                    <wps:wsp>
                      <wps:cNvPr id="68925" name="Shape 68925"/>
                      <wps:cNvSpPr/>
                      <wps:spPr>
                        <a:xfrm>
                          <a:off x="0" y="0"/>
                          <a:ext cx="6023991" cy="9144"/>
                        </a:xfrm>
                        <a:custGeom>
                          <a:avLst/>
                          <a:gdLst/>
                          <a:ahLst/>
                          <a:cxnLst/>
                          <a:rect l="0" t="0" r="0" b="0"/>
                          <a:pathLst>
                            <a:path w="6023991" h="9144">
                              <a:moveTo>
                                <a:pt x="0" y="0"/>
                              </a:moveTo>
                              <a:lnTo>
                                <a:pt x="6023991" y="0"/>
                              </a:lnTo>
                              <a:lnTo>
                                <a:pt x="602399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62750" o:spid="_x0000_s1026" o:spt="203" style="position:absolute;left:0pt;margin-left:61.25pt;margin-top:56.2pt;height:0.7pt;width:474.35pt;mso-position-horizontal-relative:page;mso-position-vertical-relative:page;mso-wrap-distance-bottom:0pt;mso-wrap-distance-left:9pt;mso-wrap-distance-right:9pt;mso-wrap-distance-top:0pt;z-index:251659264;mso-width-relative:page;mso-height-relative:page;" coordsize="6023991,9144" o:gfxdata="UEsDBAoAAAAAAIdO4kAAAAAAAAAAAAAAAAAEAAAAZHJzL1BLAwQUAAAACACHTuJAcgCU99oAAAAM&#10;AQAADwAAAGRycy9kb3ducmV2LnhtbE2PzU7DMBCE70i8g7VI3Kh/SqEKcSpUAacKqS0S4ubG2yRq&#10;vI5iN2nfHucEt53d0ew3+eriWjZgHxpPGuRMAEMqvW2o0vC1f39YAgvRkDWtJ9RwxQCr4vYmN5n1&#10;I21x2MWKpRAKmdFQx9hlnIeyRmfCzHdI6Xb0vTMxyb7itjdjCnctV0I8cWcaSh9q0+G6xvK0OzsN&#10;H6MZX+fybdicjuvrz37x+b2RqPX9nRQvwCJe4p8ZJvyEDkViOvgz2cDapJVaJGsapHoENjnEs1TA&#10;DtNqvgRe5Px/ieIXUEsDBBQAAAAIAIdO4kB4vfyUTAIAAOIFAAAOAAAAZHJzL2Uyb0RvYy54bWyl&#10;VNtu2zAMfR+wfxD8vjjx2rQx4vRhWfMybAXafYAiy7YA3SApcfr3o+hL3BTritUPNi0dUjyHFNd3&#10;JyXJkTsvjC6SxWyeEK6ZKYWui+T30/2X24T4QHVJpdG8SJ65T+42nz+tW5vzzDRGltwRCKJ93toi&#10;aUKweZp61nBF/cxYrmGzMk7RAL+uTktHW4iuZJrN58u0Na60zjDuPaxuu82kj+jeE9BUlWB8a9hB&#10;cR26qI5LGoCSb4T1yQazrSrOwq+q8jwQWSTANOAbDgF7H9/pZk3z2lHbCNanQN+TwgUnRYWGQ8dQ&#10;WxooOTjxKpQSzBlvqjBjRqUdEVQEWCzmF9rsnDlY5FLnbW1H0aFQF6r/d1j28/jgiCiLZJndXIMq&#10;miooOp5MuiWQqLV1Dsids4/2wfULdfcXWZ8qp+IX+JATivs8istPgTBYXM6zr6vVIiEM9laLq6tO&#10;e9ZAgV45seb7W27pcGQaMxsTaS20pD/r5D+m02NDLUf5fWQ/6HS7yq4HnRBClriEsiByFMnnHvT6&#10;kEIjVZqzgw87blBpevzhQ9e85WDRZrDYSQ+mgyvwZvNbGqJfTDKapJ2UqukrFTeVOfIng7BwUS/I&#10;8bwr9RQ1Vn1oCMAOiOFrMd4UObTHX8HQqJMu+gcMb/mIASPy3Kx7A7mDPVXXGynKeyFlpOtdvf8m&#10;HTnSOEPwia0LLi9gUkfpIDFGYSpWMI1wICgRYFxKoWDWZjfg3ftKDSFiw3YdEq29KZ/xduE6NDIi&#10;8Orjcf2YirNl+o+o82je/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yAJT32gAAAAwBAAAPAAAA&#10;AAAAAAEAIAAAACIAAABkcnMvZG93bnJldi54bWxQSwECFAAUAAAACACHTuJAeL38lEwCAADiBQAA&#10;DgAAAAAAAAABACAAAAApAQAAZHJzL2Uyb0RvYy54bWxQSwUGAAAAAAYABgBZAQAA5wUAAAAA&#10;">
              <o:lock v:ext="edit" aspectratio="f"/>
              <v:shape id="Shape 68925" o:spid="_x0000_s1026" o:spt="100" style="position:absolute;left:0;top:0;height:9144;width:6023991;" fillcolor="#000000" filled="t" stroked="f" coordsize="6023991,9144" o:gfxdata="UEsDBAoAAAAAAIdO4kAAAAAAAAAAAAAAAAAEAAAAZHJzL1BLAwQUAAAACACHTuJADJjFur4AAADe&#10;AAAADwAAAGRycy9kb3ducmV2LnhtbEWPQWvCQBSE7wX/w/KE3upGS0Sjq4eCtPTWKLTHR/aZBLNv&#10;091n1P76bqHgcZiZb5j19uo6NVCIrWcD00kGirjytuXawGG/e1qAioJssfNMBm4UYbsZPayxsP7C&#10;HzSUUqsE4ViggUakL7SOVUMO48T3xMk7+uBQkgy1tgEvCe46PcuyuXbYclposKeXhqpTeXYGKHx7&#10;+ay/8J1fxQ4/WOb5882Yx/E0W4ESuso9/N9+swbmi+Ush7876Qr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jFur4A&#10;AADeAAAADwAAAAAAAAABACAAAAAiAAAAZHJzL2Rvd25yZXYueG1sUEsBAhQAFAAAAAgAh07iQDMv&#10;BZ47AAAAOQAAABAAAAAAAAAAAQAgAAAADQEAAGRycy9zaGFwZXhtbC54bWxQSwUGAAAAAAYABgBb&#10;AQAAtwMAAAAA&#10;" path="m0,0l6023991,0,6023991,9144,0,9144,0,0e">
                <v:fill on="t" focussize="0,0"/>
                <v:stroke on="f" weight="0pt" miterlimit="1" joinstyle="miter"/>
                <v:imagedata o:title=""/>
                <o:lock v:ext="edit" aspectratio="f"/>
              </v:shape>
              <w10:wrap type="squar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40" w:lineRule="auto"/>
      <w:ind w:left="0" w:right="0" w:firstLine="0"/>
    </w:pPr>
    <w:r>
      <w:rPr>
        <w:sz w:val="19"/>
      </w:rPr>
      <w:t>合肥市产权交易中心竞争性磋商文件</w:t>
    </w:r>
    <w:r>
      <w:rPr>
        <w:rFonts w:ascii="Times New Roman" w:hAnsi="Times New Roman" w:eastAsia="Times New Roman" w:cs="Times New Roman"/>
        <w:sz w:val="19"/>
      </w:rPr>
      <w:t>—</w:t>
    </w:r>
    <w:r>
      <w:rPr>
        <w:sz w:val="19"/>
      </w:rPr>
      <w:t>服务类</w:t>
    </w:r>
    <w:r>
      <w:rPr>
        <w:rFonts w:ascii="Times New Roman" w:hAnsi="Times New Roman" w:eastAsia="Times New Roman" w:cs="Times New Roman"/>
        <w:color w:val="FF0000"/>
        <w:sz w:val="19"/>
      </w:rPr>
      <w:t>20210113</w:t>
    </w:r>
    <w:r>
      <w:rPr>
        <w:sz w:val="19"/>
      </w:rPr>
      <w:t>版（网招）</w:t>
    </w:r>
    <w:r>
      <w:rPr>
        <w:color w:val="0000FF"/>
      </w:rPr>
      <w:t xml:space="preserve"> </w:t>
    </w:r>
  </w:p>
  <w:p>
    <w:pPr>
      <w:spacing w:after="0" w:line="276" w:lineRule="auto"/>
      <w:ind w:left="0" w:right="0" w:firstLine="0"/>
      <w:jc w:val="right"/>
    </w:pPr>
    <w:r>
      <w:rPr>
        <w:sz w:val="22"/>
      </w:rPr>
      <mc:AlternateContent>
        <mc:Choice Requires="wpg">
          <w:drawing>
            <wp:anchor distT="0" distB="0" distL="114300" distR="114300" simplePos="0" relativeHeight="251661312" behindDoc="0" locked="0" layoutInCell="1" allowOverlap="1">
              <wp:simplePos x="0" y="0"/>
              <wp:positionH relativeFrom="page">
                <wp:posOffset>777875</wp:posOffset>
              </wp:positionH>
              <wp:positionV relativeFrom="page">
                <wp:posOffset>713740</wp:posOffset>
              </wp:positionV>
              <wp:extent cx="6024245" cy="8890"/>
              <wp:effectExtent l="0" t="0" r="0" b="0"/>
              <wp:wrapSquare wrapText="bothSides"/>
              <wp:docPr id="62680" name="Group 62680"/>
              <wp:cNvGraphicFramePr/>
              <a:graphic xmlns:a="http://schemas.openxmlformats.org/drawingml/2006/main">
                <a:graphicData uri="http://schemas.microsoft.com/office/word/2010/wordprocessingGroup">
                  <wpg:wgp>
                    <wpg:cNvGrpSpPr/>
                    <wpg:grpSpPr>
                      <a:xfrm>
                        <a:off x="0" y="0"/>
                        <a:ext cx="6023991" cy="9144"/>
                        <a:chOff x="0" y="0"/>
                        <a:chExt cx="6023991" cy="9144"/>
                      </a:xfrm>
                    </wpg:grpSpPr>
                    <wps:wsp>
                      <wps:cNvPr id="68923" name="Shape 68923"/>
                      <wps:cNvSpPr/>
                      <wps:spPr>
                        <a:xfrm>
                          <a:off x="0" y="0"/>
                          <a:ext cx="6023991" cy="9144"/>
                        </a:xfrm>
                        <a:custGeom>
                          <a:avLst/>
                          <a:gdLst/>
                          <a:ahLst/>
                          <a:cxnLst/>
                          <a:rect l="0" t="0" r="0" b="0"/>
                          <a:pathLst>
                            <a:path w="6023991" h="9144">
                              <a:moveTo>
                                <a:pt x="0" y="0"/>
                              </a:moveTo>
                              <a:lnTo>
                                <a:pt x="6023991" y="0"/>
                              </a:lnTo>
                              <a:lnTo>
                                <a:pt x="602399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62680" o:spid="_x0000_s1026" o:spt="203" style="position:absolute;left:0pt;margin-left:61.25pt;margin-top:56.2pt;height:0.7pt;width:474.35pt;mso-position-horizontal-relative:page;mso-position-vertical-relative:page;mso-wrap-distance-bottom:0pt;mso-wrap-distance-left:9pt;mso-wrap-distance-right:9pt;mso-wrap-distance-top:0pt;z-index:251661312;mso-width-relative:page;mso-height-relative:page;" coordsize="6023991,9144" o:gfxdata="UEsDBAoAAAAAAIdO4kAAAAAAAAAAAAAAAAAEAAAAZHJzL1BLAwQUAAAACACHTuJAcgCU99oAAAAM&#10;AQAADwAAAGRycy9kb3ducmV2LnhtbE2PzU7DMBCE70i8g7VI3Kh/SqEKcSpUAacKqS0S4ubG2yRq&#10;vI5iN2nfHucEt53d0ew3+eriWjZgHxpPGuRMAEMqvW2o0vC1f39YAgvRkDWtJ9RwxQCr4vYmN5n1&#10;I21x2MWKpRAKmdFQx9hlnIeyRmfCzHdI6Xb0vTMxyb7itjdjCnctV0I8cWcaSh9q0+G6xvK0OzsN&#10;H6MZX+fybdicjuvrz37x+b2RqPX9nRQvwCJe4p8ZJvyEDkViOvgz2cDapJVaJGsapHoENjnEs1TA&#10;DtNqvgRe5Px/ieIXUEsDBBQAAAAIAIdO4kBLetw1SwIAAOIFAAAOAAAAZHJzL2Uyb0RvYy54bWyl&#10;VNtu2zAMfR+wfxD8vjhxi6wx4vRhWfMybAXafYAiy7YA3SApcfL3o+hL3BTritUPNi0dUjyHFNf3&#10;JyXJkTsvjC6SxWyeEK6ZKYWui+T388OXu4T4QHVJpdG8SM7cJ/ebz5/Wrc15ZhojS+4IBNE+b22R&#10;NCHYPE09a7iifmYs17BZGadogF9Xp6WjLURXMs3m82XaGldaZxj3Hla33WbSR3TvCWiqSjC+Neyg&#10;uA5dVMclDUDJN8L6ZIPZVhVn4VdVeR6ILBJgGvANh4C9j+90s6Z57ahtBOtToO9J4YqTokLDoWOo&#10;LQ2UHJx4FUoJ5ow3VZgxo9KOCCoCLBbzK212zhwscqnztraj6FCoK9X/Oyz7eXx0RJRFssyWd6CK&#10;pgqKjieTbgkkam2dA3Ln7JN9dP1C3f1F1qfKqfgFPuSE4p5HcfkpEAaLy3l2s1otEsJgb7W4ve20&#10;Zw0U6JUTa76/5ZYOR6YxszGR1kJL+otO/mM6PTXUcpTfR/aDTner7GbQCSFkiUsoCyJHkXzuQa8P&#10;KTRSpTk7+LDjBpWmxx8+dM1bDhZtBoud9GA6uAJvNr+lIfrFJKNJ2kmpmr5ScVOZI382CAtX9YIc&#10;L7tST1Fj1YeGAOyAGL4W402RQ3v8FQyNOumif8Dwlo8YMCLPzbo3kDvYU3W9kaJ8EFJGut7V+2/S&#10;kSONMwSf2Lrg8gImdZQOEmMUpmIF0wgHghIBxqUUCmZt9hW8e1+pIURs2K5DorU35RlvF65DIyMC&#10;rz4e14+pOFum/4i6jOb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IAlPfaAAAADAEAAA8AAAAA&#10;AAAAAQAgAAAAIgAAAGRycy9kb3ducmV2LnhtbFBLAQIUABQAAAAIAIdO4kBLetw1SwIAAOIFAAAO&#10;AAAAAAAAAAEAIAAAACkBAABkcnMvZTJvRG9jLnhtbFBLBQYAAAAABgAGAFkBAADmBQAAAAA=&#10;">
              <o:lock v:ext="edit" aspectratio="f"/>
              <v:shape id="Shape 68923" o:spid="_x0000_s1026" o:spt="100" style="position:absolute;left:0;top:0;height:9144;width:6023991;" fillcolor="#000000" filled="t" stroked="f" coordsize="6023991,9144" o:gfxdata="UEsDBAoAAAAAAIdO4kAAAAAAAAAAAAAAAAAEAAAAZHJzL1BLAwQUAAAACACHTuJA7D34Vb4AAADe&#10;AAAADwAAAGRycy9kb3ducmV2LnhtbEWPQWvCQBSE7wX/w/KE3upGRbGpqwdBLL01FtrjI/uaBLNv&#10;4+4zan99VxA8DjPzDbNcX1yregqx8WxgPMpAEZfeNlwZ+NpvXxagoiBbbD2TgStFWK8GT0vMrT/z&#10;J/WFVCpBOOZooBbpcq1jWZPDOPIdcfJ+fXAoSYZK24DnBHetnmTZXDtsOC3U2NGmpvJQnJwBCkcv&#10;39UPfvBObP+HxWw2vRrzPBxnb6CELvII39vv1sB88TqZwu1OugJ6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D34Vb4A&#10;AADeAAAADwAAAAAAAAABACAAAAAiAAAAZHJzL2Rvd25yZXYueG1sUEsBAhQAFAAAAAgAh07iQDMv&#10;BZ47AAAAOQAAABAAAAAAAAAAAQAgAAAADQEAAGRycy9zaGFwZXhtbC54bWxQSwUGAAAAAAYABgBb&#10;AQAAtwMAAAAA&#10;" path="m0,0l6023991,0,6023991,9144,0,9144,0,0e">
                <v:fill on="t" focussize="0,0"/>
                <v:stroke on="f" weight="0pt" miterlimit="1" joinstyle="miter"/>
                <v:imagedata o:title=""/>
                <o:lock v:ext="edit" aspectratio="f"/>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2BC5"/>
    <w:multiLevelType w:val="multilevel"/>
    <w:tmpl w:val="377E2BC5"/>
    <w:lvl w:ilvl="0" w:tentative="0">
      <w:start w:val="1"/>
      <w:numFmt w:val="decimal"/>
      <w:lvlText w:val="%1."/>
      <w:lvlJc w:val="left"/>
      <w:pPr>
        <w:ind w:left="663"/>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1" w:tentative="0">
      <w:start w:val="1"/>
      <w:numFmt w:val="decimal"/>
      <w:lvlText w:val="%1.%2"/>
      <w:lvlJc w:val="left"/>
      <w:pPr>
        <w:ind w:left="6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17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4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1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39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46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3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0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1">
    <w:nsid w:val="4C036407"/>
    <w:multiLevelType w:val="multilevel"/>
    <w:tmpl w:val="4C0364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9329E1"/>
    <w:multiLevelType w:val="multilevel"/>
    <w:tmpl w:val="6F9329E1"/>
    <w:lvl w:ilvl="0" w:tentative="0">
      <w:start w:val="1"/>
      <w:numFmt w:val="decimal"/>
      <w:lvlText w:val="（%1）"/>
      <w:lvlJc w:val="left"/>
      <w:pPr>
        <w:ind w:left="1196" w:hanging="720"/>
      </w:pPr>
      <w:rPr>
        <w:rFonts w:hint="default"/>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6D"/>
    <w:rsid w:val="0006120D"/>
    <w:rsid w:val="000922BE"/>
    <w:rsid w:val="000C6E41"/>
    <w:rsid w:val="000E0F2F"/>
    <w:rsid w:val="0015198B"/>
    <w:rsid w:val="001679F4"/>
    <w:rsid w:val="002314AE"/>
    <w:rsid w:val="00240554"/>
    <w:rsid w:val="00275881"/>
    <w:rsid w:val="002A5C8D"/>
    <w:rsid w:val="0033606D"/>
    <w:rsid w:val="00357C5F"/>
    <w:rsid w:val="003808B5"/>
    <w:rsid w:val="003A19B8"/>
    <w:rsid w:val="00413429"/>
    <w:rsid w:val="004441F7"/>
    <w:rsid w:val="00447D4E"/>
    <w:rsid w:val="0046772D"/>
    <w:rsid w:val="004E2FFA"/>
    <w:rsid w:val="005F622C"/>
    <w:rsid w:val="006516BF"/>
    <w:rsid w:val="00654EBB"/>
    <w:rsid w:val="006E6A74"/>
    <w:rsid w:val="00701162"/>
    <w:rsid w:val="007030E4"/>
    <w:rsid w:val="00717826"/>
    <w:rsid w:val="007179E4"/>
    <w:rsid w:val="00717A12"/>
    <w:rsid w:val="00726DA1"/>
    <w:rsid w:val="00760A21"/>
    <w:rsid w:val="007A7FF1"/>
    <w:rsid w:val="00843C47"/>
    <w:rsid w:val="0085003C"/>
    <w:rsid w:val="008856F0"/>
    <w:rsid w:val="008C45A8"/>
    <w:rsid w:val="008F48D5"/>
    <w:rsid w:val="00A0742A"/>
    <w:rsid w:val="00A52CA7"/>
    <w:rsid w:val="00A52E50"/>
    <w:rsid w:val="00B1289A"/>
    <w:rsid w:val="00B447D6"/>
    <w:rsid w:val="00B50412"/>
    <w:rsid w:val="00C01AA9"/>
    <w:rsid w:val="00C9023A"/>
    <w:rsid w:val="00C902EB"/>
    <w:rsid w:val="00C971CB"/>
    <w:rsid w:val="00CE2EAB"/>
    <w:rsid w:val="00CE3641"/>
    <w:rsid w:val="00DB4FCF"/>
    <w:rsid w:val="00DC3DC9"/>
    <w:rsid w:val="00E12C8B"/>
    <w:rsid w:val="00F04344"/>
    <w:rsid w:val="00F42E6E"/>
    <w:rsid w:val="00FB6296"/>
    <w:rsid w:val="00FD0313"/>
    <w:rsid w:val="00FE3FBA"/>
    <w:rsid w:val="00FE6CA8"/>
    <w:rsid w:val="0E2A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4" w:line="246" w:lineRule="auto"/>
      <w:ind w:left="182" w:right="-15" w:hanging="10"/>
    </w:pPr>
    <w:rPr>
      <w:rFonts w:ascii="Calibri" w:hAnsi="Calibri" w:eastAsia="Calibri" w:cs="Calibri"/>
      <w:color w:val="000000"/>
      <w:kern w:val="2"/>
      <w:sz w:val="24"/>
      <w:szCs w:val="22"/>
      <w:lang w:val="en-US" w:eastAsia="zh-CN" w:bidi="ar-SA"/>
    </w:rPr>
  </w:style>
  <w:style w:type="paragraph" w:styleId="2">
    <w:name w:val="heading 1"/>
    <w:next w:val="1"/>
    <w:link w:val="9"/>
    <w:unhideWhenUsed/>
    <w:qFormat/>
    <w:uiPriority w:val="9"/>
    <w:pPr>
      <w:keepNext/>
      <w:keepLines/>
      <w:spacing w:after="338" w:line="301" w:lineRule="auto"/>
      <w:ind w:left="10" w:right="-15" w:hanging="10"/>
      <w:jc w:val="center"/>
      <w:outlineLvl w:val="0"/>
    </w:pPr>
    <w:rPr>
      <w:rFonts w:ascii="Calibri" w:hAnsi="Calibri" w:eastAsia="Calibri" w:cs="Calibri"/>
      <w:color w:val="000000"/>
      <w:kern w:val="2"/>
      <w:sz w:val="32"/>
      <w:szCs w:val="22"/>
      <w:lang w:val="en-US" w:eastAsia="zh-CN" w:bidi="ar-SA"/>
    </w:rPr>
  </w:style>
  <w:style w:type="paragraph" w:styleId="3">
    <w:name w:val="heading 2"/>
    <w:next w:val="1"/>
    <w:link w:val="10"/>
    <w:unhideWhenUsed/>
    <w:qFormat/>
    <w:uiPriority w:val="9"/>
    <w:pPr>
      <w:keepNext/>
      <w:keepLines/>
      <w:spacing w:after="613" w:line="246" w:lineRule="auto"/>
      <w:ind w:left="10" w:right="-15" w:hanging="10"/>
      <w:jc w:val="center"/>
      <w:outlineLvl w:val="1"/>
    </w:pPr>
    <w:rPr>
      <w:rFonts w:ascii="Calibri" w:hAnsi="Calibri" w:eastAsia="Calibri" w:cs="Calibri"/>
      <w:color w:val="000000"/>
      <w:kern w:val="2"/>
      <w:sz w:val="27"/>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toc 1"/>
    <w:next w:val="1"/>
    <w:hidden/>
    <w:uiPriority w:val="39"/>
    <w:pPr>
      <w:spacing w:after="197" w:line="377" w:lineRule="auto"/>
      <w:ind w:left="404" w:right="53"/>
      <w:jc w:val="both"/>
    </w:pPr>
    <w:rPr>
      <w:rFonts w:ascii="Calibri" w:hAnsi="Calibri" w:eastAsia="Calibri" w:cs="Calibri"/>
      <w:color w:val="000000"/>
      <w:kern w:val="2"/>
      <w:sz w:val="24"/>
      <w:szCs w:val="22"/>
      <w:lang w:val="en-US" w:eastAsia="zh-CN" w:bidi="ar-SA"/>
    </w:rPr>
  </w:style>
  <w:style w:type="paragraph" w:styleId="5">
    <w:name w:val="toc 2"/>
    <w:next w:val="1"/>
    <w:hidden/>
    <w:uiPriority w:val="39"/>
    <w:pPr>
      <w:spacing w:after="197" w:line="377" w:lineRule="auto"/>
      <w:ind w:left="404" w:right="53"/>
      <w:jc w:val="both"/>
    </w:pPr>
    <w:rPr>
      <w:rFonts w:ascii="Calibri" w:hAnsi="Calibri" w:eastAsia="Calibri" w:cs="Calibri"/>
      <w:color w:val="000000"/>
      <w:kern w:val="2"/>
      <w:sz w:val="24"/>
      <w:szCs w:val="22"/>
      <w:lang w:val="en-US" w:eastAsia="zh-CN" w:bidi="ar-SA"/>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标题 1 Char"/>
    <w:link w:val="2"/>
    <w:uiPriority w:val="0"/>
    <w:rPr>
      <w:rFonts w:ascii="Calibri" w:hAnsi="Calibri" w:eastAsia="Calibri" w:cs="Calibri"/>
      <w:color w:val="000000"/>
      <w:sz w:val="32"/>
    </w:rPr>
  </w:style>
  <w:style w:type="character" w:customStyle="1" w:styleId="10">
    <w:name w:val="标题 2 Char"/>
    <w:link w:val="3"/>
    <w:qFormat/>
    <w:uiPriority w:val="0"/>
    <w:rPr>
      <w:rFonts w:ascii="Calibri" w:hAnsi="Calibri" w:eastAsia="Calibri" w:cs="Calibri"/>
      <w:color w:val="000000"/>
      <w:sz w:val="27"/>
    </w:rPr>
  </w:style>
  <w:style w:type="table" w:customStyle="1" w:styleId="11">
    <w:name w:val="TableGrid"/>
    <w:qFormat/>
    <w:uiPriority w:val="0"/>
    <w:tblPr>
      <w:tblCellMar>
        <w:top w:w="0" w:type="dxa"/>
        <w:left w:w="0" w:type="dxa"/>
        <w:bottom w:w="0" w:type="dxa"/>
        <w:right w:w="0" w:type="dxa"/>
      </w:tblCellMar>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85AC9-BCD1-4816-A2C6-6384253A2DF0}">
  <ds:schemaRefs/>
</ds:datastoreItem>
</file>

<file path=docProps/app.xml><?xml version="1.0" encoding="utf-8"?>
<Properties xmlns="http://schemas.openxmlformats.org/officeDocument/2006/extended-properties" xmlns:vt="http://schemas.openxmlformats.org/officeDocument/2006/docPropsVTypes">
  <Template>Normal.dotm</Template>
  <Pages>63</Pages>
  <Words>5162</Words>
  <Characters>29430</Characters>
  <Lines>245</Lines>
  <Paragraphs>69</Paragraphs>
  <TotalTime>281</TotalTime>
  <ScaleCrop>false</ScaleCrop>
  <LinksUpToDate>false</LinksUpToDate>
  <CharactersWithSpaces>34523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2021-10-27T10:51:00Z</dcterms:created>
  <dc:creator>admin</dc:creator>
  <cp:lastModifiedBy>超超</cp:lastModifiedBy>
  <cp:lastPrinted>2021-11-15T09:00:51Z</cp:lastPrinted>
  <dcterms:modified xsi:type="dcterms:W3CDTF">2021-11-15T09:24:45Z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EF32975A8A2947F09619C85F3EB139B3</vt:lpwstr>
  </property>
</Properties>
</file>