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b w:val="1"/>
          <w:sz w:val="28"/>
          <w:szCs w:val="28"/>
          <w:rFonts w:ascii="仿宋" w:eastAsia="仿宋" w:hAnsi="仿宋"/>
        </w:rPr>
      </w:pPr>
      <w:r>
        <w:rPr>
          <w:b w:val="1"/>
          <w:sz w:val="28"/>
          <w:szCs w:val="28"/>
          <w:rFonts w:ascii="仿宋" w:eastAsia="仿宋" w:hAnsi="仿宋"/>
        </w:rPr>
        <w:t>附</w:t>
      </w:r>
      <w:r>
        <w:rPr>
          <w:b w:val="1"/>
          <w:sz w:val="28"/>
          <w:szCs w:val="28"/>
          <w:rFonts w:ascii="仿宋" w:eastAsia="仿宋" w:hAnsi="仿宋" w:hint="eastAsia"/>
        </w:rPr>
        <w:t>1.</w:t>
      </w:r>
      <w:r>
        <w:rPr>
          <w:b w:val="1"/>
          <w:sz w:val="28"/>
          <w:szCs w:val="28"/>
          <w:rFonts w:ascii="仿宋" w:eastAsia="仿宋" w:hAnsi="仿宋"/>
        </w:rPr>
        <w:t>长丰供水集团门户网站功能列表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8364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851"/>
        <w:gridCol w:w="1417"/>
        <w:gridCol w:w="3119"/>
        <w:gridCol w:w="29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color w:val="000000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color w:val="000000"/>
                <w:sz w:val="28"/>
                <w:szCs w:val="28"/>
                <w:rFonts w:ascii="仿宋" w:eastAsia="仿宋" w:hAnsi="仿宋" w:cs="宋体" w:hint="eastAsia"/>
              </w:rPr>
              <w:t>序号</w:t>
            </w:r>
          </w:p>
        </w:tc>
        <w:tc>
          <w:tcPr>
            <w:tcW w:type="dxa" w:w="141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color w:val="000000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color w:val="000000"/>
                <w:sz w:val="28"/>
                <w:szCs w:val="28"/>
                <w:rFonts w:ascii="仿宋" w:eastAsia="仿宋" w:hAnsi="仿宋" w:cs="宋体" w:hint="eastAsia"/>
              </w:rPr>
              <w:t>分类</w:t>
            </w:r>
          </w:p>
        </w:tc>
        <w:tc>
          <w:tcPr>
            <w:tcW w:type="dxa" w:w="311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color w:val="000000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color w:val="000000"/>
                <w:sz w:val="28"/>
                <w:szCs w:val="28"/>
                <w:rFonts w:ascii="仿宋" w:eastAsia="仿宋" w:hAnsi="仿宋" w:cs="宋体" w:hint="eastAsia"/>
              </w:rPr>
              <w:t>功能</w:t>
            </w:r>
          </w:p>
        </w:tc>
        <w:tc>
          <w:tcPr>
            <w:tcW w:type="dxa" w:w="29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color w:val="000000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color w:val="000000"/>
                <w:sz w:val="28"/>
                <w:szCs w:val="28"/>
                <w:rFonts w:ascii="仿宋" w:eastAsia="仿宋" w:hAnsi="仿宋" w:cs="宋体" w:hint="eastAsia"/>
              </w:rPr>
              <w:t>说明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首页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集团要闻栏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用水知识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服务指南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停水公告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水质公告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6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招标公告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7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其他公告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8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网上营业厅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9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企业宣传视频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10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服务网点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集团概况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企业介绍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组织架构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15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企业荣誉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16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新闻中心</w:t>
            </w:r>
          </w:p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集团新闻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17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企业党建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18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企业视频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19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部门动态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20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网上营业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厅</w:t>
            </w:r>
          </w:p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登录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21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注册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与短信平台对接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22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登录密码修改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与短信平台对接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23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户号绑定（未绑定）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24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水费查询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25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用户档案查询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26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户号查询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27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业务办理进度查询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28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客户服务受理查询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29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水费交纳（水费预存）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30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个人过户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31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水表销户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32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故障报修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发送至属地供水所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33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工商户接用水申请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发送至属地供水所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34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新建小区接用水申请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发送至属地供水所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35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水费电子发票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与电子发票系统对接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36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领导信箱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37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在线咨询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发送至属地供水所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38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网上投诉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发送至监察科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39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故障报修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40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服务网点查询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41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用水知识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42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服务指南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43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水价明细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44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服务承诺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45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通知公告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停水公告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46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水质信息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47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招标公告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48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其他公告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49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企业文化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企业标识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50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职工之家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服务宗旨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文明创建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53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联系我们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联系方式</w:t>
            </w:r>
          </w:p>
        </w:tc>
        <w:tc>
          <w:tcPr>
            <w:tcW w:type="dxa" w:w="297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54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服务网点</w:t>
            </w:r>
          </w:p>
        </w:tc>
        <w:tc>
          <w:tcPr>
            <w:tcW w:type="dxa" w:w="297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</w:tbl>
    <w:p>
      <w:pPr>
        <w:rPr>
          <w:sz w:val="28"/>
          <w:szCs w:val="28"/>
          <w:rFonts w:ascii="仿宋" w:eastAsia="仿宋" w:hAnsi="仿宋" w:hint="eastAsia"/>
        </w:rPr>
      </w:pPr>
    </w:p>
    <w:p>
      <w:pPr>
        <w:rPr>
          <w:sz w:val="28"/>
          <w:szCs w:val="28"/>
          <w:rFonts w:ascii="仿宋" w:eastAsia="仿宋" w:hAnsi="仿宋"/>
        </w:rPr>
      </w:pPr>
    </w:p>
    <w:p>
      <w:pPr>
        <w:rPr>
          <w:sz w:val="28"/>
          <w:szCs w:val="28"/>
          <w:rFonts w:ascii="仿宋" w:eastAsia="仿宋" w:hAnsi="仿宋"/>
        </w:rPr>
      </w:pPr>
      <w:r>
        <w:rPr>
          <w:b w:val="1"/>
          <w:sz w:val="28"/>
          <w:szCs w:val="28"/>
          <w:rFonts w:ascii="仿宋" w:eastAsia="仿宋" w:hAnsi="仿宋"/>
        </w:rPr>
        <w:t>附</w:t>
      </w:r>
      <w:r>
        <w:rPr>
          <w:b w:val="1"/>
          <w:sz w:val="28"/>
          <w:szCs w:val="28"/>
          <w:rFonts w:ascii="仿宋" w:eastAsia="仿宋" w:hAnsi="仿宋" w:hint="eastAsia"/>
        </w:rPr>
        <w:t>2.</w:t>
      </w:r>
      <w:r>
        <w:rPr>
          <w:b w:val="1"/>
          <w:sz w:val="28"/>
          <w:szCs w:val="28"/>
          <w:rFonts w:ascii="仿宋" w:eastAsia="仿宋" w:hAnsi="仿宋"/>
        </w:rPr>
        <w:t>长丰供水</w:t>
      </w:r>
      <w:r>
        <w:rPr>
          <w:b w:val="1"/>
          <w:sz w:val="28"/>
          <w:szCs w:val="28"/>
          <w:rFonts w:ascii="仿宋" w:eastAsia="仿宋" w:hAnsi="仿宋" w:hint="eastAsia"/>
        </w:rPr>
        <w:t>微信公众号</w:t>
      </w:r>
      <w:r>
        <w:rPr>
          <w:b w:val="1"/>
          <w:sz w:val="28"/>
          <w:szCs w:val="28"/>
          <w:rFonts w:ascii="仿宋" w:eastAsia="仿宋" w:hAnsi="仿宋"/>
        </w:rPr>
        <w:t>功能列表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8414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993"/>
        <w:gridCol w:w="1417"/>
        <w:gridCol w:w="3544"/>
        <w:gridCol w:w="24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序号</w:t>
            </w:r>
          </w:p>
        </w:tc>
        <w:tc>
          <w:tcPr>
            <w:tcW w:type="dxa" w:w="141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分类</w:t>
            </w:r>
          </w:p>
        </w:tc>
        <w:tc>
          <w:tcPr>
            <w:tcW w:type="dxa" w:w="354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功能</w:t>
            </w:r>
          </w:p>
        </w:tc>
        <w:tc>
          <w:tcPr>
            <w:tcW w:type="dxa" w:w="246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说明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首页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绑定户号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与短信平台、营收</w:t>
            </w:r>
            <w:r>
              <w:rPr>
                <w:sz w:val="28"/>
                <w:szCs w:val="28"/>
                <w:rFonts w:ascii="仿宋" w:eastAsia="仿宋" w:hAnsi="仿宋" w:cs="宋体"/>
              </w:rPr>
              <w:t>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在线缴费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水费查询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电子发票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与电子发票系统对</w:t>
            </w:r>
            <w:r>
              <w:rPr>
                <w:sz w:val="28"/>
                <w:szCs w:val="28"/>
                <w:rFonts w:ascii="仿宋" w:eastAsia="仿宋" w:hAnsi="仿宋" w:cs="宋体"/>
              </w:rPr>
              <w:t>接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，发送至用户邮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箱或电子发票公众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号，用户可自行下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载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网点查询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6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水质报告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7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用水知识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8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自主客服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9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报修投诉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发送至属地供水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所、监察科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10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供水之声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业务办理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居民户过户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水表销户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13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水表报停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14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我的</w:t>
            </w:r>
          </w:p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绑定户号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15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账户密码修改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与营收系统对接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16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我家用水</w:t>
            </w:r>
          </w:p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停水通知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发送至关注微信的</w:t>
            </w:r>
            <w:r>
              <w:rPr>
                <w:sz w:val="28"/>
                <w:szCs w:val="28"/>
                <w:rFonts w:ascii="仿宋" w:eastAsia="仿宋" w:hAnsi="仿宋" w:cs="宋体" w:hint="eastAsia"/>
              </w:rPr>
              <w:t>用户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17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水价资讯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18</w:t>
            </w: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水质公告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19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供水之声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用水常识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20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关于我们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特别推荐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服务承诺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</w:tbl>
    <w:p>
      <w:pPr>
        <w:rPr>
          <w:sz w:val="28"/>
          <w:szCs w:val="28"/>
          <w:rFonts w:ascii="仿宋" w:eastAsia="仿宋" w:hAnsi="仿宋" w:hint="eastAsia"/>
        </w:rPr>
      </w:pPr>
    </w:p>
    <w:p>
      <w:pPr>
        <w:rPr>
          <w:sz w:val="28"/>
          <w:szCs w:val="28"/>
          <w:rFonts w:ascii="仿宋" w:eastAsia="仿宋" w:hAnsi="仿宋"/>
        </w:rPr>
      </w:pPr>
    </w:p>
    <w:p>
      <w:pPr>
        <w:rPr>
          <w:sz w:val="28"/>
          <w:szCs w:val="28"/>
          <w:rFonts w:ascii="仿宋" w:eastAsia="仿宋" w:hAnsi="仿宋"/>
        </w:rPr>
      </w:pPr>
      <w:r>
        <w:rPr>
          <w:b w:val="1"/>
          <w:sz w:val="28"/>
          <w:szCs w:val="28"/>
          <w:rFonts w:ascii="仿宋" w:eastAsia="仿宋" w:hAnsi="仿宋"/>
        </w:rPr>
        <w:t>附</w:t>
      </w:r>
      <w:r>
        <w:rPr>
          <w:b w:val="1"/>
          <w:sz w:val="28"/>
          <w:szCs w:val="28"/>
          <w:rFonts w:ascii="仿宋" w:eastAsia="仿宋" w:hAnsi="仿宋" w:hint="eastAsia"/>
        </w:rPr>
        <w:t>3.</w:t>
      </w:r>
      <w:r>
        <w:rPr>
          <w:b w:val="1"/>
          <w:sz w:val="28"/>
          <w:szCs w:val="28"/>
          <w:rFonts w:ascii="仿宋" w:eastAsia="仿宋" w:hAnsi="仿宋"/>
        </w:rPr>
        <w:t>长丰不动产登记服务中心数据交换升级接口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8414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993"/>
        <w:gridCol w:w="1417"/>
        <w:gridCol w:w="3544"/>
        <w:gridCol w:w="24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序号</w:t>
            </w:r>
          </w:p>
        </w:tc>
        <w:tc>
          <w:tcPr>
            <w:tcW w:type="dxa" w:w="141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分类</w:t>
            </w:r>
          </w:p>
        </w:tc>
        <w:tc>
          <w:tcPr>
            <w:tcW w:type="dxa" w:w="354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功能</w:t>
            </w:r>
          </w:p>
        </w:tc>
        <w:tc>
          <w:tcPr>
            <w:tcW w:type="dxa" w:w="246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说明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交换接口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水费查询接口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用户信息查询接口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历史缴费接口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4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用户过户接口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5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销户接口</w:t>
            </w:r>
          </w:p>
        </w:tc>
        <w:tc>
          <w:tcPr>
            <w:tcW w:type="dxa" w:w="24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9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6</w:t>
            </w:r>
          </w:p>
        </w:tc>
        <w:tc>
          <w:tcPr>
            <w:tcW w:type="dxa" w:w="14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依据不动产局要求提供其</w:t>
            </w:r>
            <w:r>
              <w:rPr>
                <w:sz w:val="28"/>
                <w:szCs w:val="28"/>
                <w:rFonts w:ascii="仿宋" w:eastAsia="仿宋" w:hAnsi="仿宋" w:cs="宋体"/>
              </w:rPr>
              <w:t>他接口</w:t>
            </w:r>
          </w:p>
        </w:tc>
        <w:tc>
          <w:tcPr>
            <w:tcW w:type="dxa" w:w="24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</w:p>
        </w:tc>
      </w:tr>
    </w:tbl>
    <w:p>
      <w:pPr>
        <w:rPr>
          <w:sz w:val="28"/>
          <w:szCs w:val="28"/>
          <w:rFonts w:ascii="仿宋" w:eastAsia="仿宋" w:hAnsi="仿宋" w:hint="eastAsia"/>
        </w:rPr>
      </w:pPr>
      <w:r>
        <w:rPr>
          <w:b w:val="1"/>
          <w:sz w:val="28"/>
          <w:szCs w:val="28"/>
          <w:rFonts w:ascii="仿宋" w:eastAsia="仿宋" w:hAnsi="仿宋" w:hint="eastAsia"/>
        </w:rPr>
        <w:t>注1：</w:t>
      </w:r>
      <w:r>
        <w:rPr>
          <w:sz w:val="28"/>
          <w:szCs w:val="28"/>
          <w:rFonts w:ascii="仿宋" w:eastAsia="仿宋" w:hAnsi="仿宋" w:hint="eastAsia"/>
        </w:rPr>
        <w:t>以上长丰供水集团门户网站、微信公众号以及不动产登记服</w:t>
      </w:r>
      <w:r>
        <w:rPr>
          <w:sz w:val="28"/>
          <w:szCs w:val="28"/>
          <w:rFonts w:ascii="仿宋" w:eastAsia="仿宋" w:hAnsi="仿宋" w:hint="eastAsia"/>
        </w:rPr>
        <w:t>务中心数据交换接口实际开发功能包括但不限于以上功能。</w:t>
      </w:r>
    </w:p>
    <w:p>
      <w:pPr>
        <w:rPr>
          <w:sz w:val="28"/>
          <w:szCs w:val="28"/>
          <w:rFonts w:ascii="仿宋" w:eastAsia="仿宋" w:hAnsi="仿宋" w:hint="eastAsia"/>
        </w:rPr>
      </w:pPr>
    </w:p>
    <w:p>
      <w:pPr>
        <w:rPr>
          <w:sz w:val="28"/>
          <w:szCs w:val="28"/>
          <w:rFonts w:ascii="仿宋" w:eastAsia="仿宋" w:hAnsi="仿宋" w:hint="eastAsia"/>
        </w:rPr>
      </w:pPr>
      <w:r>
        <w:rPr>
          <w:b w:val="1"/>
          <w:sz w:val="28"/>
          <w:szCs w:val="28"/>
          <w:rFonts w:ascii="仿宋" w:eastAsia="仿宋" w:hAnsi="仿宋"/>
        </w:rPr>
        <w:t>附</w:t>
      </w:r>
      <w:r>
        <w:rPr>
          <w:b w:val="1"/>
          <w:sz w:val="28"/>
          <w:szCs w:val="28"/>
          <w:rFonts w:ascii="仿宋" w:eastAsia="仿宋" w:hAnsi="仿宋" w:hint="eastAsia"/>
        </w:rPr>
        <w:t>4.</w:t>
      </w:r>
      <w:r>
        <w:rPr>
          <w:sz w:val="28"/>
          <w:szCs w:val="28"/>
          <w:rFonts w:ascii="仿宋" w:eastAsia="仿宋" w:hAnsi="仿宋" w:hint="eastAsia"/>
        </w:rPr>
        <w:t>系统预算清单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8364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851"/>
        <w:gridCol w:w="2126"/>
        <w:gridCol w:w="3119"/>
        <w:gridCol w:w="226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序号</w:t>
            </w:r>
          </w:p>
        </w:tc>
        <w:tc>
          <w:tcPr>
            <w:tcW w:type="dxa" w:w="212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分类</w:t>
            </w:r>
          </w:p>
        </w:tc>
        <w:tc>
          <w:tcPr>
            <w:tcW w:type="dxa" w:w="311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功能</w:t>
            </w:r>
          </w:p>
        </w:tc>
        <w:tc>
          <w:tcPr>
            <w:tcW w:type="dxa" w:w="226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 w:fill="BFBFBF"/>
          </w:tcPr>
          <w:p>
            <w:pPr>
              <w:jc w:val="center"/>
              <w:rPr>
                <w:b w:val="1"/>
                <w:sz w:val="28"/>
                <w:szCs w:val="28"/>
                <w:rFonts w:ascii="仿宋" w:eastAsia="仿宋" w:hAnsi="仿宋" w:cs="宋体"/>
              </w:rPr>
            </w:pPr>
            <w:r>
              <w:rPr>
                <w:b w:val="1"/>
                <w:sz w:val="28"/>
                <w:szCs w:val="28"/>
                <w:rFonts w:ascii="仿宋" w:eastAsia="仿宋" w:hAnsi="仿宋" w:cs="宋体" w:hint="eastAsia"/>
              </w:rPr>
              <w:t>预算（万元）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hint="eastAsia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长丰供水集团</w:t>
            </w:r>
            <w:r>
              <w:rPr>
                <w:sz w:val="28"/>
                <w:szCs w:val="28"/>
                <w:rFonts w:ascii="仿宋" w:eastAsia="仿宋" w:hAnsi="仿宋"/>
              </w:rPr>
              <w:t>门户网站</w:t>
            </w:r>
          </w:p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(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控制价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：1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4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W)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首页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集团概况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新闻中心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网上营业厅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通知公告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企业文化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联系我们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2</w:t>
            </w:r>
          </w:p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jc w:val="center"/>
              <w:rPr>
                <w:sz w:val="28"/>
                <w:szCs w:val="28"/>
                <w:rFonts w:ascii="仿宋" w:eastAsia="仿宋" w:hAnsi="仿宋" w:hint="eastAsia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长丰供水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微信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公众号</w:t>
            </w:r>
          </w:p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(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控制价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：8W)</w:t>
            </w:r>
          </w:p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首页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业务办理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我的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我家用水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供水之声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 w:hint="eastAsia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3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</w:tcBorders>
          </w:tcPr>
          <w:p>
            <w:pPr>
              <w:jc w:val="center"/>
              <w:rPr>
                <w:sz w:val="28"/>
                <w:szCs w:val="28"/>
                <w:rFonts w:ascii="仿宋" w:eastAsia="仿宋" w:hAnsi="仿宋" w:hint="eastAsia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长丰不动产登</w:t>
            </w:r>
            <w:r>
              <w:rPr>
                <w:sz w:val="28"/>
                <w:szCs w:val="28"/>
                <w:rFonts w:ascii="仿宋" w:eastAsia="仿宋" w:hAnsi="仿宋"/>
              </w:rPr>
              <w:t>记服务中心数</w:t>
            </w:r>
            <w:r>
              <w:rPr>
                <w:sz w:val="28"/>
                <w:szCs w:val="28"/>
                <w:rFonts w:ascii="仿宋" w:eastAsia="仿宋" w:hAnsi="仿宋"/>
              </w:rPr>
              <w:t>据交换升级接</w:t>
            </w:r>
            <w:r>
              <w:rPr>
                <w:sz w:val="28"/>
                <w:szCs w:val="28"/>
                <w:rFonts w:ascii="仿宋" w:eastAsia="仿宋" w:hAnsi="仿宋"/>
              </w:rPr>
              <w:t>口</w:t>
            </w:r>
          </w:p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(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控制价</w:t>
            </w:r>
            <w:r>
              <w:rPr>
                <w:sz w:val="28"/>
                <w:szCs w:val="28"/>
                <w:rFonts w:ascii="仿宋" w:eastAsia="仿宋" w:hAnsi="仿宋" w:hint="eastAsia"/>
              </w:rPr>
              <w:t>：4W)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水费查询接口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用户信息查询接口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历史缴费接口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用户过户接口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</w:tcBorders>
          </w:tcPr>
          <w:p/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销户接口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0.6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8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 w:fill="FFFFFF"/>
          </w:tcPr>
          <w:p/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</w:tcBorders>
          </w:tcPr>
          <w:p/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/>
              </w:rPr>
              <w:t>依据不动产局要求提供</w:t>
            </w:r>
            <w:r>
              <w:rPr>
                <w:sz w:val="28"/>
                <w:szCs w:val="28"/>
                <w:rFonts w:ascii="仿宋" w:eastAsia="仿宋" w:hAnsi="仿宋" w:cs="宋体"/>
              </w:rPr>
              <w:t>其他接口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仿宋" w:eastAsia="仿宋" w:hAnsi="仿宋" w:cs="宋体"/>
              </w:rPr>
            </w:pPr>
            <w:r>
              <w:rPr>
                <w:sz w:val="28"/>
                <w:szCs w:val="28"/>
                <w:rFonts w:ascii="仿宋" w:eastAsia="仿宋" w:hAnsi="仿宋" w:cs="宋体" w:hint="eastAsia"/>
              </w:rPr>
              <w:t>1</w:t>
            </w:r>
          </w:p>
        </w:tc>
      </w:tr>
    </w:tbl>
    <w:p>
      <w:pPr>
        <w:rPr>
          <w:sz w:val="28"/>
          <w:szCs w:val="28"/>
          <w:rFonts w:ascii="仿宋" w:eastAsia="仿宋" w:hAnsi="仿宋"/>
        </w:rPr>
      </w:pPr>
    </w:p>
    <w:sectPr>
      <w:head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134"/>
    <w:family w:val="modern"/>
    <w:pitch w:val="fixed"/>
    <w:sig w:usb0="800002bf" w:usb1="38cf7cfa" w:usb2="00000016" w:usb3="00000000" w:csb0="00040001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jc w:val="both"/>
      <w:pBdr>
        <w:bottom w:val="single" w:sz="6" w:space="12" w:color="000000"/>
      </w:pBdr>
      <w:rPr/>
    </w:pPr>
    <w:r>
      <w:rPr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column">
                <wp:posOffset>-77474</wp:posOffset>
              </wp:positionH>
              <wp:positionV relativeFrom="paragraph">
                <wp:posOffset>-86999</wp:posOffset>
              </wp:positionV>
              <wp:extent cx="2156460" cy="457835"/>
              <wp:effectExtent l="0" t="0" r="0" b="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7095" cy="458470"/>
                      </a:xfrm>
                      <a:prstGeom prst="rect"/>
                      <a:noFill/>
                      <a:ln w="9525" cap="flat">
                        <a:noFill/>
                      </a:ln>
                    </wps:spPr>
                    <wps:txbx style="" inset="7pt,4pt,7pt,4pt">
                      <w:txbxContent>
                        <w:p>
                          <w:pPr>
                            <w:rPr>
                              <w:sz w:val="24"/>
                              <w:szCs w:val="24"/>
                              <w:rFonts w:ascii="楷体" w:eastAsia="楷体" w:hAnsi="楷体"/>
                            </w:rPr>
                          </w:pPr>
                          <w:r>
                            <w:rPr>
                              <w:sz w:val="20"/>
                            </w:rPr>
                            <w:drawing>
                              <wp:inline distT="0" distB="0" distL="0" distR="0">
                                <wp:extent cx="302260" cy="302260"/>
                                <wp:effectExtent l="0" t="0" r="2540" b="2540"/>
                                <wp:docPr id="3" name="图片 11" descr="水标志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C:/Users/Administrator/AppData/Roaming/JisuOffice/ETemp/16668_5697512/image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2895" cy="302895"/>
                                        </a:xfrm>
                                        <a:prstGeom prst="rect"/>
                                        <a:noFill/>
                                        <a:ln cap="flat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</w:rPr>
                            <w:t>长丰供水集团有限公司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_x0000_s4" style="position:absolute;left:0;margin-left:-6pt;mso-position-horizontal:absolute;mso-position-horizontal-relative:text;margin-top:-7pt;mso-position-vertical:absolute;mso-position-vertical-relative:text;width:169.8pt;height:36.0pt;z-index:251624961" coordsize="2156460,457835" path="m,l2156460,,2156460,457835,,457835xe" stroked="f" filled="f">
              <v:textbox style="" inset="7pt,4pt,7pt,4pt">
                <w:txbxContent>
                  <w:p>
                    <w:pPr>
                      <w:rPr>
                        <w:sz w:val="24"/>
                        <w:szCs w:val="24"/>
                        <w:rFonts w:ascii="楷体" w:eastAsia="楷体" w:hAnsi="楷体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302260" cy="302260"/>
                          <wp:effectExtent l="0" t="0" r="2540" b="2540"/>
                          <wp:docPr id="3" name="图片 11" descr="水标志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/Users/Administrator/AppData/Roaming/JisuOffice/ETemp/16668_5697512/image1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2895" cy="302895"/>
                                  </a:xfrm>
                                  <a:prstGeom prst="rect"/>
                                  <a:noFill/>
                                  <a:ln cap="flat"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</w:rPr>
                      <w:t>长丰供水集团有限公司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next w:val="PO1"/>
    <w:link w:val="PO163"/>
    <w:qFormat/>
    <w:uiPriority w:val="7"/>
    <w:pPr>
      <w:spacing w:lineRule="auto" w:line="578" w:before="340" w:after="330"/>
      <w:rPr/>
      <w:outlineLvl w:val="0"/>
    </w:pPr>
    <w:rPr>
      <w:b w:val="1"/>
      <w:sz w:val="44"/>
      <w:szCs w:val="44"/>
    </w:rPr>
  </w:style>
  <w:style w:styleId="PO8" w:type="paragraph">
    <w:name w:val="heading 2"/>
    <w:basedOn w:val="PO1"/>
    <w:next w:val="PO1"/>
    <w:link w:val="PO161"/>
    <w:qFormat/>
    <w:uiPriority w:val="8"/>
    <w:unhideWhenUsed/>
    <w:pPr>
      <w:spacing w:lineRule="auto" w:line="415" w:before="260" w:after="260"/>
      <w:rPr/>
      <w:outlineLvl w:val="1"/>
    </w:pPr>
    <w:rPr>
      <w:b w:val="1"/>
      <w:sz w:val="32"/>
      <w:szCs w:val="32"/>
      <w:rFonts w:asciiTheme="majorHAnsi" w:eastAsiaTheme="majorEastAsia" w:hAnsiTheme="majorHAnsi" w:cstheme="minorBidi"/>
    </w:rPr>
  </w:style>
  <w:style w:styleId="PO9" w:type="paragraph">
    <w:name w:val="heading 3"/>
    <w:basedOn w:val="PO1"/>
    <w:next w:val="PO1"/>
    <w:link w:val="PO165"/>
    <w:qFormat/>
    <w:uiPriority w:val="9"/>
    <w:unhideWhenUsed/>
    <w:pPr>
      <w:spacing w:lineRule="auto" w:line="415" w:before="260" w:after="260"/>
      <w:rPr/>
      <w:outlineLvl w:val="2"/>
    </w:pPr>
    <w:rPr>
      <w:b w:val="1"/>
      <w:sz w:val="32"/>
      <w:szCs w:val="32"/>
    </w:rPr>
  </w:style>
  <w:style w:styleId="PO10" w:type="paragraph">
    <w:name w:val="heading 4"/>
    <w:basedOn w:val="PO1"/>
    <w:next w:val="PO1"/>
    <w:link w:val="PO166"/>
    <w:qFormat/>
    <w:uiPriority w:val="10"/>
    <w:unhideWhenUsed/>
    <w:pPr>
      <w:spacing w:lineRule="auto" w:line="376" w:before="280" w:after="290"/>
      <w:rPr/>
      <w:outlineLvl w:val="3"/>
    </w:pPr>
    <w:rPr>
      <w:b w:val="1"/>
      <w:sz w:val="28"/>
      <w:szCs w:val="28"/>
      <w:rFonts w:asciiTheme="majorHAnsi" w:eastAsiaTheme="majorEastAsia" w:hAnsiTheme="majorHAnsi" w:cstheme="minorBidi"/>
    </w:rPr>
  </w:style>
  <w:style w:styleId="PO26" w:type="paragraph">
    <w:name w:val="List Paragraph"/>
    <w:basedOn w:val="PO1"/>
    <w:qFormat/>
    <w:uiPriority w:val="26"/>
    <w:pPr>
      <w:ind w:firstLine="420"/>
      <w:rPr/>
    </w:pPr>
  </w:style>
  <w:style w:styleId="PO28" w:type="paragraph">
    <w:name w:val="toc 1"/>
    <w:basedOn w:val="PO1"/>
    <w:next w:val="PO1"/>
    <w:uiPriority w:val="28"/>
    <w:unhideWhenUsed/>
    <w:pPr>
      <w:jc w:val="left"/>
      <w:spacing w:lineRule="auto" w:line="259" w:after="100"/>
      <w:rPr/>
    </w:pPr>
    <w:rPr>
      <w:sz w:val="22"/>
      <w:szCs w:val="22"/>
      <w:rFonts w:asciiTheme="minorHAnsi" w:eastAsiaTheme="minorEastAsia" w:hAnsiTheme="minorHAnsi"/>
    </w:rPr>
  </w:style>
  <w:style w:styleId="PO29" w:type="paragraph">
    <w:name w:val="toc 2"/>
    <w:basedOn w:val="PO1"/>
    <w:next w:val="PO1"/>
    <w:uiPriority w:val="29"/>
    <w:unhideWhenUsed/>
    <w:pPr>
      <w:jc w:val="left"/>
      <w:spacing w:lineRule="auto" w:line="259" w:after="100"/>
      <w:ind w:left="220" w:firstLine="0"/>
      <w:rPr/>
    </w:pPr>
    <w:rPr>
      <w:sz w:val="22"/>
      <w:szCs w:val="22"/>
      <w:rFonts w:asciiTheme="minorHAnsi" w:eastAsiaTheme="minorEastAsia" w:hAnsiTheme="minorHAnsi"/>
    </w:rPr>
  </w:style>
  <w:style w:styleId="PO30" w:type="paragraph">
    <w:name w:val="toc 3"/>
    <w:basedOn w:val="PO1"/>
    <w:next w:val="PO1"/>
    <w:uiPriority w:val="30"/>
    <w:unhideWhenUsed/>
    <w:pPr>
      <w:jc w:val="left"/>
      <w:spacing w:lineRule="auto" w:line="259" w:after="100"/>
      <w:ind w:left="440" w:firstLine="0"/>
      <w:rPr/>
    </w:pPr>
    <w:rPr>
      <w:sz w:val="22"/>
      <w:szCs w:val="22"/>
      <w:rFonts w:asciiTheme="minorHAnsi" w:eastAsiaTheme="minorEastAsia" w:hAnsiTheme="minorHAnsi"/>
    </w:rPr>
  </w:style>
  <w:style w:styleId="PO151" w:type="paragraph">
    <w:name w:val="Body Text"/>
    <w:basedOn w:val="PO1"/>
    <w:link w:val="PO162"/>
    <w:qFormat/>
    <w:uiPriority w:val="151"/>
    <w:pPr>
      <w:jc w:val="left"/>
      <w:ind w:left="859" w:hanging="360"/>
      <w:rPr/>
      <w:autoSpaceDE w:val="0"/>
      <w:autoSpaceDN w:val="0"/>
    </w:pPr>
    <w:rPr>
      <w:sz w:val="20"/>
      <w:szCs w:val="20"/>
      <w:rFonts w:ascii="Arial" w:hAnsi="Arial" w:cs="Arial" w:eastAsiaTheme="minorEastAsia"/>
    </w:rPr>
  </w:style>
  <w:style w:styleId="PO152" w:type="paragraph">
    <w:name w:val="Balloon Text"/>
    <w:basedOn w:val="PO1"/>
    <w:link w:val="PO159"/>
    <w:uiPriority w:val="152"/>
    <w:semiHidden/>
    <w:unhideWhenUsed/>
    <w:rPr>
      <w:sz w:val="18"/>
      <w:szCs w:val="18"/>
    </w:rPr>
  </w:style>
  <w:style w:styleId="PO153" w:type="paragraph">
    <w:name w:val="footer"/>
    <w:basedOn w:val="PO1"/>
    <w:link w:val="PO158"/>
    <w:uiPriority w:val="153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4" w:type="paragraph">
    <w:name w:val="header"/>
    <w:basedOn w:val="PO1"/>
    <w:link w:val="PO157"/>
    <w:uiPriority w:val="154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5" w:type="paragraph">
    <w:name w:val="Normal (Web)"/>
    <w:basedOn w:val="PO1"/>
    <w:uiPriority w:val="155"/>
    <w:semiHidden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hAnsi="宋体" w:cs="宋体"/>
    </w:rPr>
  </w:style>
  <w:style w:styleId="PO156" w:type="character">
    <w:name w:val="Hyperlink"/>
    <w:basedOn w:val="PO2"/>
    <w:uiPriority w:val="156"/>
    <w:unhideWhenUsed/>
    <w:rPr>
      <w:color w:val="0000FF" w:themeColor="hyperlink"/>
      <w:u w:val="single"/>
    </w:rPr>
  </w:style>
  <w:style w:customStyle="1" w:styleId="PO157" w:type="character">
    <w:name w:val="页眉 Char"/>
    <w:basedOn w:val="PO2"/>
    <w:link w:val="PO154"/>
    <w:uiPriority w:val="157"/>
    <w:rPr>
      <w:sz w:val="18"/>
      <w:szCs w:val="18"/>
    </w:rPr>
  </w:style>
  <w:style w:customStyle="1" w:styleId="PO158" w:type="character">
    <w:name w:val="页脚 Char"/>
    <w:basedOn w:val="PO2"/>
    <w:link w:val="PO153"/>
    <w:uiPriority w:val="158"/>
    <w:rPr>
      <w:sz w:val="18"/>
      <w:szCs w:val="18"/>
    </w:rPr>
  </w:style>
  <w:style w:customStyle="1" w:styleId="PO159" w:type="character">
    <w:name w:val="批注框文本 Char"/>
    <w:basedOn w:val="PO2"/>
    <w:link w:val="PO152"/>
    <w:uiPriority w:val="159"/>
    <w:semiHidden/>
    <w:rPr>
      <w:sz w:val="18"/>
      <w:szCs w:val="18"/>
    </w:rPr>
  </w:style>
  <w:style w:customStyle="1" w:styleId="PO160" w:type="paragraph">
    <w:name w:val="Default"/>
    <w:uiPriority w:val="160"/>
    <w:pPr>
      <w:rPr/>
      <w:autoSpaceDE w:val="0"/>
      <w:autoSpaceDN w:val="0"/>
    </w:pPr>
    <w:rPr>
      <w:color w:val="000000"/>
      <w:sz w:val="24"/>
      <w:szCs w:val="24"/>
      <w:rFonts w:ascii="Arial" w:hAnsi="Arial" w:cs="Arial"/>
    </w:rPr>
  </w:style>
  <w:style w:customStyle="1" w:styleId="PO161" w:type="character">
    <w:name w:val="标题 2 Char"/>
    <w:basedOn w:val="PO2"/>
    <w:link w:val="PO8"/>
    <w:uiPriority w:val="161"/>
    <w:rPr>
      <w:b w:val="1"/>
      <w:sz w:val="32"/>
      <w:szCs w:val="32"/>
      <w:rFonts w:asciiTheme="majorHAnsi" w:eastAsiaTheme="majorEastAsia" w:hAnsiTheme="majorHAnsi" w:cstheme="minorBidi"/>
    </w:rPr>
  </w:style>
  <w:style w:customStyle="1" w:styleId="PO162" w:type="character">
    <w:name w:val="正文文本 Char"/>
    <w:basedOn w:val="PO2"/>
    <w:link w:val="PO151"/>
    <w:uiPriority w:val="162"/>
    <w:rPr>
      <w:sz w:val="20"/>
      <w:szCs w:val="20"/>
      <w:rFonts w:ascii="Arial" w:hAnsi="Arial" w:cs="Arial"/>
    </w:rPr>
  </w:style>
  <w:style w:customStyle="1" w:styleId="PO163" w:type="character">
    <w:name w:val="标题 1 Char"/>
    <w:basedOn w:val="PO2"/>
    <w:link w:val="PO7"/>
    <w:uiPriority w:val="163"/>
    <w:rPr>
      <w:b w:val="1"/>
      <w:sz w:val="44"/>
      <w:szCs w:val="44"/>
      <w:rFonts w:ascii="Times New Roman" w:eastAsia="宋体" w:hAnsi="Times New Roman" w:cs="Times New Roman"/>
    </w:rPr>
  </w:style>
  <w:style w:customStyle="1" w:styleId="PO164" w:type="paragraph">
    <w:name w:val="TOC 标题1"/>
    <w:basedOn w:val="PO7"/>
    <w:next w:val="PO1"/>
    <w:qFormat/>
    <w:uiPriority w:val="164"/>
    <w:unhideWhenUsed/>
    <w:pPr>
      <w:jc w:val="left"/>
      <w:spacing w:lineRule="auto" w:line="259" w:before="240" w:after="0"/>
      <w:rPr/>
      <w:outlineLvl w:val="9"/>
    </w:pPr>
    <w:rPr>
      <w:b w:val="0"/>
      <w:color w:val="366091" w:themeColor="accent1" w:themeShade="BF"/>
      <w:sz w:val="32"/>
      <w:szCs w:val="32"/>
      <w:rFonts w:asciiTheme="majorHAnsi" w:eastAsiaTheme="majorEastAsia" w:hAnsiTheme="majorHAnsi" w:cstheme="minorBidi"/>
    </w:rPr>
  </w:style>
  <w:style w:customStyle="1" w:styleId="PO165" w:type="character">
    <w:name w:val="标题 3 Char"/>
    <w:basedOn w:val="PO2"/>
    <w:link w:val="PO9"/>
    <w:uiPriority w:val="165"/>
    <w:rPr>
      <w:b w:val="1"/>
      <w:sz w:val="32"/>
      <w:szCs w:val="32"/>
      <w:rFonts w:ascii="Times New Roman" w:eastAsia="宋体" w:hAnsi="Times New Roman" w:cs="Times New Roman"/>
    </w:rPr>
  </w:style>
  <w:style w:customStyle="1" w:styleId="PO166" w:type="character">
    <w:name w:val="标题 4 Char"/>
    <w:basedOn w:val="PO2"/>
    <w:link w:val="PO10"/>
    <w:uiPriority w:val="166"/>
    <w:rPr>
      <w:b w:val="1"/>
      <w:sz w:val="28"/>
      <w:szCs w:val="28"/>
      <w:rFonts w:asciiTheme="majorHAnsi" w:eastAsiaTheme="majorEastAsia" w:hAnsiTheme="maj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Relationship Id="rId2" Type="http://schemas.openxmlformats.org/officeDocument/2006/relationships/image" Target="media/image1.jpeg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1658</Characters>
  <CharactersWithSpaces>0</CharactersWithSpaces>
  <DocSecurity>0</DocSecurity>
  <HyperlinksChanged>false</HyperlinksChanged>
  <Lines>11</Lines>
  <LinksUpToDate>false</LinksUpToDate>
  <Pages>6</Pages>
  <Paragraphs>3</Paragraphs>
  <Words>247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st</dc:creator>
  <cp:lastModifiedBy/>
  <dcterms:modified xsi:type="dcterms:W3CDTF">2021-10-23T12:05:00Z</dcterms:modified>
</cp:coreProperties>
</file>