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ind w:left="0" w:leftChars="0" w:firstLine="0" w:firstLineChars="0"/>
        <w:jc w:val="both"/>
        <w:rPr>
          <w:rFonts w:hint="eastAsia" w:ascii="宋体" w:hAnsi="宋体" w:eastAsia="宋体"/>
          <w:b w:val="0"/>
          <w:bCs/>
          <w:szCs w:val="32"/>
        </w:rPr>
      </w:pPr>
      <w:bookmarkStart w:id="0" w:name="_Toc72221865"/>
      <w:bookmarkStart w:id="1" w:name="_Toc12462186"/>
      <w:bookmarkStart w:id="2" w:name="_Toc87528832"/>
      <w:bookmarkStart w:id="347" w:name="_GoBack"/>
      <w:bookmarkEnd w:id="347"/>
    </w:p>
    <w:p>
      <w:pPr>
        <w:pStyle w:val="4"/>
        <w:spacing w:line="500" w:lineRule="exact"/>
        <w:ind w:left="0" w:leftChars="0" w:firstLine="0" w:firstLineChars="0"/>
        <w:jc w:val="center"/>
        <w:rPr>
          <w:rFonts w:hint="eastAsia" w:ascii="宋体" w:hAnsi="宋体" w:eastAsia="宋体"/>
          <w:b w:val="0"/>
          <w:bCs/>
          <w:sz w:val="32"/>
          <w:szCs w:val="40"/>
        </w:rPr>
      </w:pPr>
      <w:r>
        <w:rPr>
          <w:rFonts w:hint="eastAsia" w:ascii="宋体" w:hAnsi="宋体" w:eastAsia="宋体"/>
          <w:b w:val="0"/>
          <w:bCs/>
          <w:sz w:val="32"/>
          <w:szCs w:val="40"/>
        </w:rPr>
        <w:t>第一章  招标公告</w:t>
      </w:r>
      <w:bookmarkEnd w:id="0"/>
      <w:bookmarkEnd w:id="1"/>
      <w:bookmarkStart w:id="3" w:name="_Toc460226985"/>
      <w:bookmarkStart w:id="4" w:name="_Toc460226716"/>
      <w:bookmarkStart w:id="5" w:name="_Toc460660058"/>
    </w:p>
    <w:p>
      <w:pPr>
        <w:pStyle w:val="4"/>
        <w:spacing w:line="500" w:lineRule="exact"/>
        <w:ind w:firstLine="628"/>
        <w:jc w:val="center"/>
        <w:rPr>
          <w:rFonts w:hint="eastAsia" w:ascii="宋体" w:hAnsi="宋体" w:eastAsia="宋体"/>
          <w:b/>
          <w:bCs w:val="0"/>
          <w:sz w:val="32"/>
          <w:szCs w:val="40"/>
          <w:lang w:eastAsia="zh-CN"/>
        </w:rPr>
      </w:pPr>
      <w:r>
        <w:rPr>
          <w:rFonts w:hint="eastAsia" w:ascii="宋体" w:hAnsi="宋体" w:eastAsia="宋体"/>
          <w:b/>
          <w:bCs w:val="0"/>
          <w:sz w:val="32"/>
          <w:szCs w:val="40"/>
        </w:rPr>
        <w:t>长丰供水集团有限公司及其</w:t>
      </w:r>
      <w:r>
        <w:rPr>
          <w:rFonts w:hint="eastAsia" w:ascii="宋体" w:hAnsi="宋体" w:eastAsia="宋体"/>
          <w:b/>
          <w:bCs w:val="0"/>
          <w:sz w:val="32"/>
          <w:szCs w:val="40"/>
          <w:lang w:eastAsia="zh-CN"/>
        </w:rPr>
        <w:t>五</w:t>
      </w:r>
      <w:r>
        <w:rPr>
          <w:rFonts w:hint="eastAsia" w:ascii="宋体" w:hAnsi="宋体" w:eastAsia="宋体"/>
          <w:b/>
          <w:bCs w:val="0"/>
          <w:sz w:val="32"/>
          <w:szCs w:val="40"/>
        </w:rPr>
        <w:t>家关联公司</w:t>
      </w:r>
      <w:r>
        <w:rPr>
          <w:rFonts w:hint="eastAsia" w:ascii="宋体" w:hAnsi="宋体" w:eastAsia="宋体"/>
          <w:b/>
          <w:bCs w:val="0"/>
          <w:sz w:val="32"/>
          <w:szCs w:val="40"/>
          <w:lang w:eastAsia="zh-CN"/>
        </w:rPr>
        <w:t>法律顾问</w:t>
      </w:r>
      <w:r>
        <w:rPr>
          <w:rFonts w:hint="eastAsia" w:ascii="宋体" w:hAnsi="宋体" w:eastAsia="宋体"/>
          <w:b/>
          <w:bCs w:val="0"/>
          <w:sz w:val="32"/>
          <w:szCs w:val="40"/>
        </w:rPr>
        <w:t>招标</w:t>
      </w:r>
      <w:r>
        <w:rPr>
          <w:rFonts w:hint="eastAsia" w:ascii="宋体" w:hAnsi="宋体" w:eastAsia="宋体"/>
          <w:b/>
          <w:bCs w:val="0"/>
          <w:sz w:val="32"/>
          <w:szCs w:val="40"/>
          <w:lang w:eastAsia="zh-CN"/>
        </w:rPr>
        <w:t>项目</w:t>
      </w:r>
    </w:p>
    <w:p>
      <w:pPr>
        <w:pStyle w:val="4"/>
        <w:spacing w:line="500" w:lineRule="exact"/>
        <w:ind w:firstLine="628"/>
        <w:jc w:val="left"/>
        <w:rPr>
          <w:rFonts w:ascii="黑体" w:hAnsi="Times New Roman" w:eastAsia="黑体"/>
          <w:sz w:val="24"/>
          <w:szCs w:val="24"/>
        </w:rPr>
      </w:pPr>
      <w:r>
        <w:rPr>
          <w:rFonts w:ascii="黑体" w:hAnsi="Times New Roman" w:eastAsia="黑体"/>
          <w:sz w:val="24"/>
          <w:szCs w:val="24"/>
        </w:rPr>
        <w:t xml:space="preserve">1. </w:t>
      </w:r>
      <w:r>
        <w:rPr>
          <w:rFonts w:hint="eastAsia" w:ascii="黑体" w:hAnsi="Times New Roman" w:eastAsia="黑体"/>
          <w:sz w:val="24"/>
          <w:szCs w:val="24"/>
        </w:rPr>
        <w:t>招标条件</w:t>
      </w:r>
    </w:p>
    <w:p>
      <w:pPr>
        <w:spacing w:line="460" w:lineRule="exact"/>
        <w:ind w:firstLine="437"/>
        <w:rPr>
          <w:rFonts w:ascii="Times New Roman" w:hAnsi="Times New Roman" w:cs="楷体"/>
          <w:bCs/>
          <w:snapToGrid w:val="0"/>
          <w:color w:val="000000"/>
          <w:kern w:val="0"/>
          <w:sz w:val="24"/>
          <w:szCs w:val="24"/>
        </w:rPr>
      </w:pPr>
      <w:r>
        <w:rPr>
          <w:rFonts w:ascii="Times New Roman" w:hAnsi="Times New Roman" w:cs="楷体"/>
          <w:bCs/>
          <w:snapToGrid w:val="0"/>
          <w:color w:val="000000"/>
          <w:kern w:val="0"/>
          <w:sz w:val="24"/>
          <w:szCs w:val="24"/>
        </w:rPr>
        <w:t>1.1</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项目名称：</w:t>
      </w:r>
      <w:r>
        <w:rPr>
          <w:rFonts w:hint="eastAsia" w:ascii="Times New Roman" w:hAnsi="Times New Roman" w:eastAsia="宋体" w:cs="楷体"/>
          <w:bCs/>
          <w:snapToGrid w:val="0"/>
          <w:color w:val="000000"/>
          <w:kern w:val="0"/>
          <w:sz w:val="24"/>
          <w:szCs w:val="24"/>
          <w:lang w:eastAsia="zh-CN"/>
        </w:rPr>
        <w:t>长丰供水集团有限公司及其五家关联公司法律顾问招标</w:t>
      </w:r>
      <w:r>
        <w:rPr>
          <w:rFonts w:hint="eastAsia" w:ascii="Times New Roman" w:hAnsi="Times New Roman" w:cs="楷体"/>
          <w:bCs/>
          <w:snapToGrid w:val="0"/>
          <w:color w:val="000000"/>
          <w:kern w:val="0"/>
          <w:sz w:val="24"/>
          <w:szCs w:val="24"/>
        </w:rPr>
        <w:t xml:space="preserve"> </w:t>
      </w:r>
    </w:p>
    <w:p>
      <w:pPr>
        <w:spacing w:line="460" w:lineRule="exact"/>
        <w:ind w:firstLine="437"/>
        <w:rPr>
          <w:rFonts w:ascii="Times New Roman" w:hAnsi="Times New Roman" w:cs="楷体"/>
          <w:bCs/>
          <w:snapToGrid w:val="0"/>
          <w:color w:val="000000"/>
          <w:kern w:val="0"/>
          <w:sz w:val="24"/>
          <w:szCs w:val="24"/>
        </w:rPr>
      </w:pPr>
      <w:r>
        <w:rPr>
          <w:rFonts w:ascii="Times New Roman" w:hAnsi="Times New Roman" w:cs="楷体"/>
          <w:bCs/>
          <w:snapToGrid w:val="0"/>
          <w:color w:val="000000"/>
          <w:kern w:val="0"/>
          <w:sz w:val="24"/>
          <w:szCs w:val="24"/>
        </w:rPr>
        <w:t>1.2</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项目审批、核准或备案机关名称：</w:t>
      </w:r>
      <w:r>
        <w:rPr>
          <w:rFonts w:ascii="Times New Roman" w:hAnsi="Times New Roman"/>
          <w:color w:val="000000"/>
          <w:sz w:val="24"/>
          <w:szCs w:val="24"/>
        </w:rPr>
        <w:t xml:space="preserve">  </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1.3</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批文名称及编号：</w:t>
      </w:r>
      <w:r>
        <w:rPr>
          <w:rFonts w:ascii="Times New Roman" w:hAnsi="Times New Roman"/>
          <w:color w:val="000000"/>
          <w:sz w:val="24"/>
          <w:szCs w:val="24"/>
        </w:rPr>
        <w:t xml:space="preserve">   </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1.4</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招标人：</w:t>
      </w:r>
      <w:r>
        <w:rPr>
          <w:rFonts w:hint="eastAsia" w:ascii="Times New Roman" w:hAnsi="Times New Roman"/>
          <w:color w:val="000000"/>
          <w:sz w:val="24"/>
          <w:szCs w:val="24"/>
        </w:rPr>
        <w:t>长丰供水集团有限公司</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1.5</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项目业主：</w:t>
      </w:r>
      <w:r>
        <w:rPr>
          <w:rFonts w:hint="eastAsia" w:ascii="Times New Roman" w:hAnsi="Times New Roman"/>
          <w:color w:val="000000"/>
          <w:sz w:val="24"/>
          <w:szCs w:val="24"/>
        </w:rPr>
        <w:t>长丰供水集团有限公司</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1.6</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资金来源：</w:t>
      </w:r>
      <w:r>
        <w:rPr>
          <w:rFonts w:hint="eastAsia" w:ascii="Times New Roman" w:hAnsi="Times New Roman"/>
          <w:sz w:val="24"/>
          <w:szCs w:val="24"/>
        </w:rPr>
        <w:t>自筹资金</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1.7</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项目出资比例：</w:t>
      </w:r>
      <w:r>
        <w:rPr>
          <w:rFonts w:hint="eastAsia" w:ascii="Times New Roman" w:hAnsi="Times New Roman"/>
          <w:color w:val="000000"/>
          <w:sz w:val="24"/>
          <w:szCs w:val="24"/>
        </w:rPr>
        <w:t>100%</w:t>
      </w:r>
      <w:r>
        <w:rPr>
          <w:rFonts w:ascii="Times New Roman" w:hAnsi="Times New Roman"/>
          <w:color w:val="000000"/>
          <w:sz w:val="24"/>
          <w:szCs w:val="24"/>
        </w:rPr>
        <w:t xml:space="preserve">  </w:t>
      </w:r>
    </w:p>
    <w:p>
      <w:pPr>
        <w:spacing w:before="240" w:beforeLines="100" w:after="240" w:afterLines="100"/>
        <w:rPr>
          <w:rFonts w:ascii="黑体" w:hAnsi="Times New Roman" w:eastAsia="黑体"/>
          <w:sz w:val="24"/>
          <w:szCs w:val="24"/>
        </w:rPr>
      </w:pPr>
      <w:r>
        <w:rPr>
          <w:rFonts w:ascii="黑体" w:hAnsi="Times New Roman" w:eastAsia="黑体"/>
          <w:sz w:val="24"/>
          <w:szCs w:val="24"/>
        </w:rPr>
        <w:t xml:space="preserve">2. </w:t>
      </w:r>
      <w:r>
        <w:rPr>
          <w:rFonts w:hint="eastAsia" w:ascii="黑体" w:hAnsi="Times New Roman" w:eastAsia="黑体"/>
          <w:sz w:val="24"/>
          <w:szCs w:val="24"/>
        </w:rPr>
        <w:t>项目概况与招标范围</w:t>
      </w:r>
    </w:p>
    <w:p>
      <w:pPr>
        <w:spacing w:line="460" w:lineRule="exact"/>
        <w:ind w:firstLine="437"/>
        <w:rPr>
          <w:rFonts w:hint="eastAsia" w:ascii="Times New Roman" w:hAnsi="Times New Roman" w:eastAsia="宋体"/>
          <w:color w:val="000000"/>
          <w:sz w:val="24"/>
          <w:szCs w:val="24"/>
          <w:lang w:eastAsia="zh-CN"/>
        </w:rPr>
      </w:pPr>
      <w:r>
        <w:rPr>
          <w:rFonts w:ascii="Times New Roman" w:hAnsi="Times New Roman" w:cs="楷体"/>
          <w:bCs/>
          <w:snapToGrid w:val="0"/>
          <w:color w:val="000000"/>
          <w:kern w:val="0"/>
          <w:sz w:val="24"/>
          <w:szCs w:val="24"/>
        </w:rPr>
        <w:t>2.1</w:t>
      </w:r>
      <w:r>
        <w:rPr>
          <w:rFonts w:hint="eastAsia" w:ascii="Times New Roman" w:hAnsi="Times New Roman" w:cs="楷体"/>
          <w:bCs/>
          <w:snapToGrid w:val="0"/>
          <w:color w:val="000000"/>
          <w:kern w:val="0"/>
          <w:sz w:val="24"/>
          <w:szCs w:val="24"/>
        </w:rPr>
        <w:t xml:space="preserve"> 招标项目名称：</w:t>
      </w:r>
      <w:r>
        <w:rPr>
          <w:rFonts w:hint="eastAsia" w:ascii="Times New Roman" w:hAnsi="Times New Roman" w:eastAsia="宋体"/>
          <w:color w:val="000000"/>
          <w:sz w:val="24"/>
          <w:szCs w:val="24"/>
          <w:lang w:eastAsia="zh-CN"/>
        </w:rPr>
        <w:t>长丰供水集团有限公司及其五家关联公司法律顾问招标</w:t>
      </w:r>
    </w:p>
    <w:p>
      <w:pPr>
        <w:spacing w:line="460" w:lineRule="exact"/>
        <w:ind w:firstLine="437"/>
        <w:rPr>
          <w:rFonts w:ascii="宋体" w:hAnsi="宋体"/>
          <w:sz w:val="24"/>
          <w:szCs w:val="24"/>
        </w:rPr>
      </w:pPr>
      <w:r>
        <w:rPr>
          <w:rFonts w:ascii="Times New Roman" w:hAnsi="Times New Roman" w:cs="楷体"/>
          <w:bCs/>
          <w:snapToGrid w:val="0"/>
          <w:color w:val="000000"/>
          <w:kern w:val="0"/>
          <w:sz w:val="24"/>
          <w:szCs w:val="24"/>
        </w:rPr>
        <w:t>2.2</w:t>
      </w:r>
      <w:r>
        <w:rPr>
          <w:rFonts w:hint="eastAsia" w:ascii="Times New Roman" w:hAnsi="Times New Roman" w:cs="楷体"/>
          <w:bCs/>
          <w:snapToGrid w:val="0"/>
          <w:color w:val="000000"/>
          <w:kern w:val="0"/>
          <w:sz w:val="24"/>
          <w:szCs w:val="24"/>
        </w:rPr>
        <w:t xml:space="preserve"> 招标项目编号：</w:t>
      </w:r>
      <w:r>
        <w:rPr>
          <w:rFonts w:ascii="Times New Roman" w:hAnsi="Times New Roman"/>
          <w:color w:val="000000"/>
          <w:sz w:val="24"/>
          <w:szCs w:val="24"/>
        </w:rPr>
        <w:t xml:space="preserve"> </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line="460" w:lineRule="exact"/>
        <w:ind w:firstLine="437"/>
        <w:rPr>
          <w:rFonts w:ascii="Times New Roman" w:hAnsi="Times New Roman" w:cs="楷体"/>
          <w:bCs/>
          <w:snapToGrid w:val="0"/>
          <w:color w:val="000000"/>
          <w:kern w:val="0"/>
          <w:sz w:val="24"/>
          <w:szCs w:val="24"/>
        </w:rPr>
      </w:pPr>
      <w:r>
        <w:rPr>
          <w:rFonts w:ascii="Times New Roman" w:hAnsi="Times New Roman" w:cs="楷体"/>
          <w:bCs/>
          <w:snapToGrid w:val="0"/>
          <w:color w:val="000000"/>
          <w:kern w:val="0"/>
          <w:sz w:val="24"/>
          <w:szCs w:val="24"/>
        </w:rPr>
        <w:t xml:space="preserve">2.3 </w:t>
      </w:r>
      <w:r>
        <w:rPr>
          <w:rFonts w:hint="eastAsia" w:ascii="Times New Roman" w:hAnsi="Times New Roman" w:cs="楷体"/>
          <w:bCs/>
          <w:snapToGrid w:val="0"/>
          <w:color w:val="000000"/>
          <w:kern w:val="0"/>
          <w:sz w:val="24"/>
          <w:szCs w:val="24"/>
        </w:rPr>
        <w:t>标段划分：</w:t>
      </w:r>
      <w:r>
        <w:rPr>
          <w:rFonts w:hint="eastAsia" w:ascii="Times New Roman" w:hAnsi="Times New Roman"/>
          <w:sz w:val="24"/>
          <w:szCs w:val="24"/>
        </w:rPr>
        <w:t>本项目共 1 个标段</w:t>
      </w:r>
      <w:r>
        <w:rPr>
          <w:rFonts w:ascii="Times New Roman" w:hAnsi="Times New Roman"/>
          <w:color w:val="000000"/>
          <w:sz w:val="24"/>
          <w:szCs w:val="24"/>
        </w:rPr>
        <w:t xml:space="preserve">   </w:t>
      </w:r>
    </w:p>
    <w:p>
      <w:pPr>
        <w:spacing w:line="460" w:lineRule="exact"/>
        <w:ind w:firstLine="437"/>
        <w:rPr>
          <w:rFonts w:ascii="Times New Roman" w:hAnsi="Times New Roman" w:cs="楷体"/>
          <w:bCs/>
          <w:snapToGrid w:val="0"/>
          <w:color w:val="000000"/>
          <w:kern w:val="0"/>
          <w:sz w:val="24"/>
          <w:szCs w:val="24"/>
        </w:rPr>
      </w:pPr>
      <w:r>
        <w:rPr>
          <w:rFonts w:ascii="Times New Roman" w:hAnsi="Times New Roman" w:cs="楷体"/>
          <w:bCs/>
          <w:snapToGrid w:val="0"/>
          <w:color w:val="000000"/>
          <w:kern w:val="0"/>
          <w:sz w:val="24"/>
          <w:szCs w:val="24"/>
        </w:rPr>
        <w:t xml:space="preserve">2.4 </w:t>
      </w:r>
      <w:r>
        <w:rPr>
          <w:rFonts w:hint="eastAsia" w:ascii="Times New Roman" w:hAnsi="Times New Roman" w:cs="楷体"/>
          <w:bCs/>
          <w:snapToGrid w:val="0"/>
          <w:color w:val="000000"/>
          <w:kern w:val="0"/>
          <w:sz w:val="24"/>
          <w:szCs w:val="24"/>
        </w:rPr>
        <w:t>招标项目标段编号：</w:t>
      </w:r>
      <w:r>
        <w:rPr>
          <w:rFonts w:ascii="Times New Roman" w:hAnsi="Times New Roman"/>
          <w:color w:val="000000"/>
          <w:sz w:val="24"/>
          <w:szCs w:val="24"/>
        </w:rPr>
        <w:t xml:space="preserve"> </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2.5</w:t>
      </w:r>
      <w:r>
        <w:rPr>
          <w:rFonts w:hint="eastAsia" w:ascii="Times New Roman" w:hAnsi="Times New Roman" w:cs="楷体"/>
          <w:bCs/>
          <w:snapToGrid w:val="0"/>
          <w:color w:val="000000"/>
          <w:kern w:val="0"/>
          <w:sz w:val="24"/>
          <w:szCs w:val="24"/>
        </w:rPr>
        <w:t xml:space="preserve"> </w:t>
      </w:r>
      <w:r>
        <w:rPr>
          <w:rFonts w:hint="eastAsia" w:ascii="Times New Roman" w:hAnsi="Times New Roman" w:eastAsia="宋体" w:cs="楷体"/>
          <w:bCs/>
          <w:snapToGrid w:val="0"/>
          <w:color w:val="000000"/>
          <w:kern w:val="0"/>
          <w:sz w:val="24"/>
          <w:szCs w:val="24"/>
          <w:lang w:eastAsia="zh-CN"/>
        </w:rPr>
        <w:t>服务</w:t>
      </w:r>
      <w:r>
        <w:rPr>
          <w:rFonts w:hint="eastAsia" w:ascii="Times New Roman" w:hAnsi="Times New Roman" w:cs="楷体"/>
          <w:bCs/>
          <w:snapToGrid w:val="0"/>
          <w:color w:val="000000"/>
          <w:kern w:val="0"/>
          <w:sz w:val="24"/>
          <w:szCs w:val="24"/>
        </w:rPr>
        <w:t>地点：</w:t>
      </w:r>
      <w:r>
        <w:rPr>
          <w:rFonts w:hint="eastAsia" w:ascii="Times New Roman" w:hAnsi="Times New Roman"/>
          <w:color w:val="000000"/>
          <w:sz w:val="24"/>
          <w:szCs w:val="24"/>
        </w:rPr>
        <w:t>长丰县境内</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2.6</w:t>
      </w:r>
      <w:r>
        <w:rPr>
          <w:rFonts w:hint="eastAsia" w:ascii="Times New Roman" w:hAnsi="Times New Roman" w:cs="楷体"/>
          <w:bCs/>
          <w:snapToGrid w:val="0"/>
          <w:color w:val="000000"/>
          <w:kern w:val="0"/>
          <w:sz w:val="24"/>
          <w:szCs w:val="24"/>
        </w:rPr>
        <w:t xml:space="preserve"> </w:t>
      </w:r>
      <w:r>
        <w:rPr>
          <w:rFonts w:hint="eastAsia" w:ascii="Times New Roman" w:hAnsi="Times New Roman" w:eastAsia="宋体" w:cs="楷体"/>
          <w:bCs/>
          <w:snapToGrid w:val="0"/>
          <w:color w:val="000000"/>
          <w:kern w:val="0"/>
          <w:sz w:val="24"/>
          <w:szCs w:val="24"/>
          <w:lang w:eastAsia="zh-CN"/>
        </w:rPr>
        <w:t>服务</w:t>
      </w:r>
      <w:r>
        <w:rPr>
          <w:rFonts w:hint="eastAsia" w:ascii="Times New Roman" w:hAnsi="Times New Roman" w:cs="楷体"/>
          <w:bCs/>
          <w:snapToGrid w:val="0"/>
          <w:color w:val="000000"/>
          <w:kern w:val="0"/>
          <w:sz w:val="24"/>
          <w:szCs w:val="24"/>
        </w:rPr>
        <w:t>规模：拟选择</w:t>
      </w:r>
      <w:r>
        <w:rPr>
          <w:rFonts w:hint="eastAsia" w:ascii="Times New Roman" w:hAnsi="Times New Roman" w:eastAsia="宋体" w:cs="楷体"/>
          <w:bCs/>
          <w:snapToGrid w:val="0"/>
          <w:color w:val="000000"/>
          <w:kern w:val="0"/>
          <w:sz w:val="24"/>
          <w:szCs w:val="24"/>
          <w:lang w:val="en-US" w:eastAsia="zh-CN"/>
        </w:rPr>
        <w:t>1</w:t>
      </w:r>
      <w:r>
        <w:rPr>
          <w:rFonts w:hint="eastAsia" w:ascii="Times New Roman" w:hAnsi="Times New Roman" w:cs="楷体"/>
          <w:bCs/>
          <w:snapToGrid w:val="0"/>
          <w:color w:val="000000"/>
          <w:kern w:val="0"/>
          <w:sz w:val="24"/>
          <w:szCs w:val="24"/>
        </w:rPr>
        <w:t>家</w:t>
      </w:r>
      <w:r>
        <w:rPr>
          <w:rFonts w:hint="eastAsia" w:ascii="Times New Roman" w:hAnsi="Times New Roman" w:eastAsia="宋体" w:cs="楷体"/>
          <w:bCs/>
          <w:snapToGrid w:val="0"/>
          <w:color w:val="000000"/>
          <w:kern w:val="0"/>
          <w:sz w:val="24"/>
          <w:szCs w:val="24"/>
          <w:lang w:eastAsia="zh-CN"/>
        </w:rPr>
        <w:t>法律</w:t>
      </w:r>
      <w:r>
        <w:rPr>
          <w:rFonts w:hint="eastAsia" w:ascii="Times New Roman" w:hAnsi="Times New Roman" w:cs="楷体"/>
          <w:bCs/>
          <w:snapToGrid w:val="0"/>
          <w:color w:val="000000"/>
          <w:kern w:val="0"/>
          <w:sz w:val="24"/>
          <w:szCs w:val="24"/>
        </w:rPr>
        <w:t>服务机构，承担属于</w:t>
      </w:r>
      <w:r>
        <w:rPr>
          <w:rFonts w:hint="eastAsia" w:ascii="Times New Roman" w:hAnsi="Times New Roman" w:eastAsia="宋体" w:cs="楷体"/>
          <w:bCs/>
          <w:snapToGrid w:val="0"/>
          <w:color w:val="000000"/>
          <w:kern w:val="0"/>
          <w:sz w:val="24"/>
          <w:szCs w:val="24"/>
          <w:lang w:eastAsia="zh-CN"/>
        </w:rPr>
        <w:t>长丰供水集团有限公司及其五家关联公司法律顾问事宜</w:t>
      </w:r>
      <w:r>
        <w:rPr>
          <w:rFonts w:hint="eastAsia" w:ascii="Times New Roman" w:hAnsi="Times New Roman" w:cs="楷体"/>
          <w:bCs/>
          <w:snapToGrid w:val="0"/>
          <w:color w:val="000000"/>
          <w:kern w:val="0"/>
          <w:sz w:val="24"/>
          <w:szCs w:val="24"/>
        </w:rPr>
        <w:t>，</w:t>
      </w:r>
      <w:r>
        <w:rPr>
          <w:rFonts w:hint="eastAsia" w:ascii="Times New Roman" w:hAnsi="Times New Roman" w:eastAsia="宋体" w:cs="楷体"/>
          <w:bCs/>
          <w:snapToGrid w:val="0"/>
          <w:color w:val="000000"/>
          <w:kern w:val="0"/>
          <w:sz w:val="24"/>
          <w:szCs w:val="24"/>
          <w:lang w:eastAsia="zh-CN"/>
        </w:rPr>
        <w:t>包括常年法律顾问服务、案件代理法律服务等，</w:t>
      </w:r>
      <w:r>
        <w:rPr>
          <w:rFonts w:hint="eastAsia" w:ascii="Times New Roman" w:hAnsi="Times New Roman" w:cs="楷体"/>
          <w:bCs/>
          <w:snapToGrid w:val="0"/>
          <w:color w:val="000000"/>
          <w:kern w:val="0"/>
          <w:sz w:val="24"/>
          <w:szCs w:val="24"/>
        </w:rPr>
        <w:t>详见招标文件。</w:t>
      </w:r>
    </w:p>
    <w:p>
      <w:pPr>
        <w:snapToGrid w:val="0"/>
        <w:ind w:left="410" w:leftChars="171" w:firstLine="468" w:firstLineChars="195"/>
        <w:rPr>
          <w:rFonts w:ascii="楷体" w:hAnsi="楷体" w:eastAsia="楷体" w:cs="楷体"/>
          <w:bCs/>
          <w:snapToGrid w:val="0"/>
          <w:color w:val="auto"/>
          <w:kern w:val="0"/>
          <w:sz w:val="24"/>
          <w:szCs w:val="24"/>
        </w:rPr>
      </w:pPr>
      <w:r>
        <w:rPr>
          <w:rFonts w:ascii="Times New Roman" w:hAnsi="Times New Roman" w:cs="楷体"/>
          <w:bCs/>
          <w:snapToGrid w:val="0"/>
          <w:color w:val="auto"/>
          <w:kern w:val="0"/>
          <w:sz w:val="24"/>
          <w:szCs w:val="24"/>
        </w:rPr>
        <w:t>2.7</w:t>
      </w:r>
      <w:r>
        <w:rPr>
          <w:rFonts w:hint="eastAsia" w:ascii="Times New Roman" w:hAnsi="Times New Roman" w:cs="楷体"/>
          <w:bCs/>
          <w:snapToGrid w:val="0"/>
          <w:color w:val="auto"/>
          <w:kern w:val="0"/>
          <w:sz w:val="24"/>
          <w:szCs w:val="24"/>
        </w:rPr>
        <w:t xml:space="preserve"> 项目</w:t>
      </w:r>
      <w:r>
        <w:rPr>
          <w:rFonts w:ascii="Times New Roman" w:hAnsi="Times New Roman" w:cs="楷体"/>
          <w:bCs/>
          <w:snapToGrid w:val="0"/>
          <w:color w:val="auto"/>
          <w:kern w:val="0"/>
          <w:sz w:val="24"/>
          <w:szCs w:val="24"/>
        </w:rPr>
        <w:t>投资估算</w:t>
      </w:r>
      <w:r>
        <w:rPr>
          <w:rFonts w:hint="eastAsia" w:ascii="Times New Roman" w:hAnsi="Times New Roman" w:cs="楷体"/>
          <w:bCs/>
          <w:snapToGrid w:val="0"/>
          <w:color w:val="auto"/>
          <w:kern w:val="0"/>
          <w:sz w:val="24"/>
          <w:szCs w:val="24"/>
        </w:rPr>
        <w:t>：</w:t>
      </w:r>
      <w:r>
        <w:rPr>
          <w:rFonts w:hint="eastAsia" w:ascii="Times New Roman" w:hAnsi="Times New Roman" w:eastAsia="宋体" w:cs="楷体"/>
          <w:bCs/>
          <w:snapToGrid w:val="0"/>
          <w:color w:val="auto"/>
          <w:kern w:val="0"/>
          <w:sz w:val="24"/>
          <w:szCs w:val="24"/>
          <w:lang w:eastAsia="zh-CN"/>
        </w:rPr>
        <w:t>项目费用分为</w:t>
      </w:r>
      <w:r>
        <w:rPr>
          <w:rFonts w:hint="eastAsia" w:ascii="Times New Roman" w:hAnsi="Times New Roman" w:eastAsia="宋体" w:cs="楷体"/>
          <w:bCs/>
          <w:snapToGrid w:val="0"/>
          <w:color w:val="auto"/>
          <w:kern w:val="0"/>
          <w:sz w:val="24"/>
          <w:szCs w:val="24"/>
          <w:lang w:val="en-US" w:eastAsia="zh-CN"/>
        </w:rPr>
        <w:t>2年</w:t>
      </w:r>
      <w:r>
        <w:rPr>
          <w:rFonts w:hint="eastAsia" w:ascii="Times New Roman" w:hAnsi="Times New Roman" w:eastAsia="宋体" w:cs="楷体"/>
          <w:bCs/>
          <w:snapToGrid w:val="0"/>
          <w:color w:val="auto"/>
          <w:kern w:val="0"/>
          <w:sz w:val="24"/>
          <w:szCs w:val="24"/>
          <w:lang w:eastAsia="zh-CN"/>
        </w:rPr>
        <w:t>常年法律顾问服务咨询费和案件代理费两个部分。</w:t>
      </w:r>
      <w:r>
        <w:rPr>
          <w:rFonts w:hint="eastAsia" w:ascii="Times New Roman" w:hAnsi="Times New Roman" w:eastAsia="宋体" w:cs="楷体"/>
          <w:bCs/>
          <w:snapToGrid w:val="0"/>
          <w:color w:val="auto"/>
          <w:kern w:val="0"/>
          <w:sz w:val="24"/>
          <w:szCs w:val="24"/>
          <w:lang w:val="en-US" w:eastAsia="zh-CN"/>
        </w:rPr>
        <w:t>2年</w:t>
      </w:r>
      <w:r>
        <w:rPr>
          <w:rFonts w:hint="eastAsia" w:ascii="Times New Roman" w:hAnsi="Times New Roman" w:eastAsia="宋体" w:cs="楷体"/>
          <w:bCs/>
          <w:snapToGrid w:val="0"/>
          <w:color w:val="auto"/>
          <w:kern w:val="0"/>
          <w:sz w:val="24"/>
          <w:szCs w:val="24"/>
          <w:lang w:eastAsia="zh-CN"/>
        </w:rPr>
        <w:t>法律顾问服务咨询费在</w:t>
      </w:r>
      <w:r>
        <w:rPr>
          <w:rFonts w:hint="eastAsia" w:ascii="Times New Roman" w:hAnsi="Times New Roman" w:eastAsia="宋体"/>
          <w:color w:val="auto"/>
          <w:sz w:val="24"/>
          <w:szCs w:val="24"/>
          <w:lang w:val="en-US" w:eastAsia="zh-CN"/>
        </w:rPr>
        <w:t>12</w:t>
      </w:r>
      <w:r>
        <w:rPr>
          <w:rFonts w:hint="eastAsia" w:ascii="Times New Roman" w:hAnsi="Times New Roman"/>
          <w:color w:val="auto"/>
          <w:sz w:val="24"/>
          <w:szCs w:val="24"/>
        </w:rPr>
        <w:t>万元</w:t>
      </w:r>
      <w:r>
        <w:rPr>
          <w:rFonts w:hint="eastAsia" w:ascii="Times New Roman" w:hAnsi="Times New Roman" w:eastAsia="宋体"/>
          <w:color w:val="auto"/>
          <w:sz w:val="24"/>
          <w:szCs w:val="24"/>
          <w:lang w:eastAsia="zh-CN"/>
        </w:rPr>
        <w:t>以内，案件代理费依据折扣据实计算（其中</w:t>
      </w:r>
      <w:r>
        <w:rPr>
          <w:rFonts w:hint="eastAsia" w:ascii="宋体" w:hAnsi="宋体" w:eastAsia="宋体"/>
          <w:color w:val="auto"/>
          <w:spacing w:val="-2"/>
          <w:szCs w:val="21"/>
          <w:lang w:eastAsia="zh-CN"/>
        </w:rPr>
        <w:t>个案最低律师费收费标准</w:t>
      </w:r>
      <w:r>
        <w:rPr>
          <w:rFonts w:hint="eastAsia" w:ascii="宋体" w:hAnsi="宋体"/>
          <w:color w:val="auto"/>
          <w:spacing w:val="-2"/>
          <w:szCs w:val="21"/>
          <w:lang w:eastAsia="zh-CN"/>
        </w:rPr>
        <w:t>为</w:t>
      </w:r>
      <w:r>
        <w:rPr>
          <w:rFonts w:hint="eastAsia" w:ascii="宋体" w:hAnsi="宋体"/>
          <w:color w:val="auto"/>
          <w:spacing w:val="-2"/>
          <w:szCs w:val="21"/>
          <w:lang w:val="en-US" w:eastAsia="zh-CN"/>
        </w:rPr>
        <w:t>2000元</w:t>
      </w:r>
      <w:r>
        <w:rPr>
          <w:rFonts w:hint="eastAsia" w:ascii="Times New Roman" w:hAnsi="Times New Roman" w:eastAsia="宋体"/>
          <w:color w:val="auto"/>
          <w:sz w:val="24"/>
          <w:szCs w:val="24"/>
          <w:lang w:eastAsia="zh-CN"/>
        </w:rPr>
        <w:t>）。</w:t>
      </w:r>
    </w:p>
    <w:p>
      <w:pPr>
        <w:spacing w:line="460" w:lineRule="exact"/>
        <w:ind w:firstLine="437"/>
        <w:rPr>
          <w:rFonts w:hint="default" w:ascii="Times New Roman" w:hAnsi="Times New Roman" w:eastAsia="宋体" w:cs="楷体"/>
          <w:bCs/>
          <w:snapToGrid w:val="0"/>
          <w:color w:val="auto"/>
          <w:kern w:val="0"/>
          <w:sz w:val="24"/>
          <w:szCs w:val="24"/>
          <w:lang w:val="en-US" w:eastAsia="zh-CN"/>
        </w:rPr>
      </w:pPr>
      <w:r>
        <w:rPr>
          <w:rFonts w:hint="eastAsia" w:ascii="Times New Roman" w:hAnsi="Times New Roman" w:cs="楷体"/>
          <w:bCs/>
          <w:snapToGrid w:val="0"/>
          <w:color w:val="auto"/>
          <w:kern w:val="0"/>
          <w:sz w:val="24"/>
          <w:szCs w:val="24"/>
        </w:rPr>
        <w:t>2.8 服务期限：法律服务合同期限为两年</w:t>
      </w:r>
      <w:r>
        <w:rPr>
          <w:rFonts w:hint="eastAsia" w:ascii="Times New Roman" w:hAnsi="Times New Roman" w:eastAsia="宋体" w:cs="楷体"/>
          <w:bCs/>
          <w:snapToGrid w:val="0"/>
          <w:color w:val="auto"/>
          <w:kern w:val="0"/>
          <w:sz w:val="24"/>
          <w:szCs w:val="24"/>
          <w:lang w:eastAsia="zh-CN"/>
        </w:rPr>
        <w:t>或常年法律顾问服务咨询费、案件代理费综合费用达到</w:t>
      </w:r>
      <w:r>
        <w:rPr>
          <w:rFonts w:hint="eastAsia" w:ascii="Times New Roman" w:hAnsi="Times New Roman" w:eastAsia="宋体" w:cs="楷体"/>
          <w:bCs/>
          <w:snapToGrid w:val="0"/>
          <w:color w:val="auto"/>
          <w:kern w:val="0"/>
          <w:sz w:val="24"/>
          <w:szCs w:val="24"/>
          <w:lang w:val="en-US" w:eastAsia="zh-CN"/>
        </w:rPr>
        <w:t>29万元（两种情况以先达到为准，自合同签订之日起算）。</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2.9</w:t>
      </w:r>
      <w:r>
        <w:rPr>
          <w:rFonts w:hint="eastAsia" w:ascii="Times New Roman" w:hAnsi="Times New Roman" w:cs="楷体"/>
          <w:bCs/>
          <w:snapToGrid w:val="0"/>
          <w:color w:val="000000"/>
          <w:kern w:val="0"/>
          <w:sz w:val="24"/>
          <w:szCs w:val="24"/>
        </w:rPr>
        <w:t xml:space="preserve"> 招标范围：</w:t>
      </w:r>
      <w:r>
        <w:rPr>
          <w:rFonts w:hint="eastAsia" w:ascii="Times New Roman" w:hAnsi="Times New Roman" w:eastAsia="宋体"/>
          <w:color w:val="000000"/>
          <w:sz w:val="24"/>
          <w:szCs w:val="24"/>
          <w:lang w:eastAsia="zh-CN"/>
        </w:rPr>
        <w:t>长丰供水集团有限公司及其五家关联公司法律顾问招标</w:t>
      </w:r>
      <w:r>
        <w:rPr>
          <w:rFonts w:hint="eastAsia" w:ascii="Times New Roman" w:hAnsi="Times New Roman"/>
          <w:color w:val="000000"/>
          <w:sz w:val="24"/>
          <w:szCs w:val="24"/>
        </w:rPr>
        <w:t>，详见招标文件。</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2.10</w:t>
      </w:r>
      <w:r>
        <w:rPr>
          <w:rFonts w:hint="eastAsia" w:ascii="Times New Roman" w:hAnsi="Times New Roman" w:cs="楷体"/>
          <w:bCs/>
          <w:snapToGrid w:val="0"/>
          <w:color w:val="000000"/>
          <w:kern w:val="0"/>
          <w:sz w:val="24"/>
          <w:szCs w:val="24"/>
        </w:rPr>
        <w:t xml:space="preserve"> 项目类别：</w:t>
      </w:r>
      <w:r>
        <w:rPr>
          <w:rFonts w:hint="eastAsia" w:ascii="Times New Roman" w:hAnsi="Times New Roman"/>
          <w:sz w:val="24"/>
          <w:szCs w:val="24"/>
        </w:rPr>
        <w:t>服务</w:t>
      </w:r>
      <w:r>
        <w:rPr>
          <w:rFonts w:ascii="Times New Roman" w:hAnsi="Times New Roman"/>
          <w:color w:val="000000"/>
          <w:sz w:val="24"/>
          <w:szCs w:val="24"/>
        </w:rPr>
        <w:t xml:space="preserve">  </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2.11</w:t>
      </w:r>
      <w:r>
        <w:rPr>
          <w:rFonts w:hint="eastAsia" w:ascii="Times New Roman" w:hAnsi="Times New Roman" w:cs="楷体"/>
          <w:bCs/>
          <w:snapToGrid w:val="0"/>
          <w:color w:val="000000"/>
          <w:kern w:val="0"/>
          <w:sz w:val="24"/>
          <w:szCs w:val="24"/>
        </w:rPr>
        <w:t xml:space="preserve"> 其他：</w:t>
      </w:r>
      <w:r>
        <w:rPr>
          <w:rFonts w:hint="eastAsia" w:ascii="Times New Roman" w:hAnsi="Times New Roman"/>
          <w:color w:val="000000"/>
          <w:sz w:val="24"/>
          <w:szCs w:val="24"/>
        </w:rPr>
        <w:t>/</w:t>
      </w:r>
      <w:r>
        <w:rPr>
          <w:rFonts w:ascii="Times New Roman" w:hAnsi="Times New Roman"/>
          <w:color w:val="000000"/>
          <w:sz w:val="24"/>
          <w:szCs w:val="24"/>
        </w:rPr>
        <w:t xml:space="preserve">   </w:t>
      </w:r>
    </w:p>
    <w:p>
      <w:pPr>
        <w:spacing w:before="240" w:beforeLines="100" w:after="240" w:afterLines="100"/>
        <w:rPr>
          <w:rFonts w:ascii="黑体" w:hAnsi="Times New Roman" w:eastAsia="黑体"/>
          <w:sz w:val="24"/>
          <w:szCs w:val="24"/>
        </w:rPr>
      </w:pPr>
      <w:r>
        <w:rPr>
          <w:rFonts w:ascii="黑体" w:hAnsi="Times New Roman" w:eastAsia="黑体"/>
          <w:sz w:val="24"/>
          <w:szCs w:val="24"/>
        </w:rPr>
        <w:t xml:space="preserve">3. </w:t>
      </w:r>
      <w:r>
        <w:rPr>
          <w:rFonts w:hint="eastAsia" w:ascii="黑体" w:hAnsi="Times New Roman" w:eastAsia="黑体"/>
          <w:sz w:val="24"/>
          <w:szCs w:val="24"/>
        </w:rPr>
        <w:t>投标人资格要求</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3.1</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投标人资质要求：</w:t>
      </w:r>
      <w:r>
        <w:rPr>
          <w:rFonts w:hint="eastAsia" w:ascii="Times New Roman" w:hAnsi="Times New Roman" w:eastAsia="宋体" w:cs="楷体"/>
          <w:bCs/>
          <w:snapToGrid w:val="0"/>
          <w:color w:val="000000"/>
          <w:kern w:val="0"/>
          <w:sz w:val="24"/>
          <w:szCs w:val="24"/>
          <w:lang w:eastAsia="zh-CN"/>
        </w:rPr>
        <w:t>详见招标文件</w:t>
      </w:r>
      <w:r>
        <w:rPr>
          <w:rFonts w:ascii="Times New Roman" w:hAnsi="Times New Roman"/>
          <w:color w:val="000000"/>
          <w:sz w:val="24"/>
          <w:szCs w:val="24"/>
        </w:rPr>
        <w:t xml:space="preserve"> </w:t>
      </w:r>
    </w:p>
    <w:p>
      <w:pPr>
        <w:spacing w:line="460" w:lineRule="exact"/>
        <w:ind w:firstLine="437"/>
        <w:jc w:val="left"/>
        <w:rPr>
          <w:rFonts w:ascii="Times New Roman" w:hAnsi="Times New Roman"/>
          <w:color w:val="000000"/>
          <w:sz w:val="24"/>
          <w:szCs w:val="24"/>
        </w:rPr>
      </w:pPr>
      <w:r>
        <w:rPr>
          <w:rFonts w:ascii="Times New Roman" w:hAnsi="Times New Roman" w:cs="楷体"/>
          <w:bCs/>
          <w:snapToGrid w:val="0"/>
          <w:color w:val="000000"/>
          <w:kern w:val="0"/>
          <w:sz w:val="24"/>
          <w:szCs w:val="24"/>
        </w:rPr>
        <w:t>3.2</w:t>
      </w:r>
      <w:r>
        <w:rPr>
          <w:rFonts w:hint="eastAsia" w:ascii="Times New Roman" w:hAnsi="Times New Roman" w:cs="楷体"/>
          <w:bCs/>
          <w:snapToGrid w:val="0"/>
          <w:color w:val="000000"/>
          <w:kern w:val="0"/>
          <w:sz w:val="24"/>
          <w:szCs w:val="24"/>
        </w:rPr>
        <w:t xml:space="preserve"> </w:t>
      </w:r>
      <w:r>
        <w:rPr>
          <w:rFonts w:ascii="Times New Roman" w:hAnsi="Times New Roman" w:cs="楷体"/>
          <w:bCs/>
          <w:snapToGrid w:val="0"/>
          <w:color w:val="000000"/>
          <w:kern w:val="0"/>
          <w:sz w:val="24"/>
          <w:szCs w:val="24"/>
        </w:rPr>
        <w:t>投标人业绩要求：</w:t>
      </w:r>
      <w:r>
        <w:rPr>
          <w:rFonts w:hint="eastAsia" w:ascii="Times New Roman" w:hAnsi="Times New Roman" w:eastAsia="宋体" w:cs="楷体"/>
          <w:bCs/>
          <w:snapToGrid w:val="0"/>
          <w:color w:val="000000"/>
          <w:kern w:val="0"/>
          <w:sz w:val="24"/>
          <w:szCs w:val="24"/>
          <w:lang w:eastAsia="zh-CN"/>
        </w:rPr>
        <w:t>详见招标文件</w:t>
      </w:r>
    </w:p>
    <w:p>
      <w:pPr>
        <w:spacing w:line="460" w:lineRule="exact"/>
        <w:ind w:firstLine="437"/>
        <w:rPr>
          <w:rFonts w:ascii="Times New Roman" w:hAnsi="Times New Roman" w:cs="楷体"/>
          <w:bCs/>
          <w:snapToGrid w:val="0"/>
          <w:color w:val="000000"/>
          <w:kern w:val="0"/>
          <w:sz w:val="24"/>
          <w:szCs w:val="24"/>
        </w:rPr>
      </w:pPr>
      <w:r>
        <w:rPr>
          <w:rFonts w:ascii="Times New Roman" w:hAnsi="Times New Roman" w:cs="楷体"/>
          <w:bCs/>
          <w:snapToGrid w:val="0"/>
          <w:color w:val="000000"/>
          <w:kern w:val="0"/>
          <w:sz w:val="24"/>
          <w:szCs w:val="24"/>
        </w:rPr>
        <w:t>3.3</w:t>
      </w:r>
      <w:r>
        <w:rPr>
          <w:rFonts w:hint="eastAsia" w:ascii="Times New Roman" w:hAnsi="Times New Roman" w:cs="楷体"/>
          <w:bCs/>
          <w:snapToGrid w:val="0"/>
          <w:color w:val="000000"/>
          <w:kern w:val="0"/>
          <w:sz w:val="24"/>
          <w:szCs w:val="24"/>
        </w:rPr>
        <w:t xml:space="preserve"> 项目负责人资格要求：</w:t>
      </w:r>
      <w:r>
        <w:rPr>
          <w:rFonts w:hint="eastAsia" w:ascii="Times New Roman" w:hAnsi="Times New Roman" w:eastAsia="宋体" w:cs="楷体"/>
          <w:bCs/>
          <w:snapToGrid w:val="0"/>
          <w:color w:val="000000"/>
          <w:kern w:val="0"/>
          <w:sz w:val="24"/>
          <w:szCs w:val="24"/>
          <w:lang w:eastAsia="zh-CN"/>
        </w:rPr>
        <w:t>详见招标文件</w:t>
      </w:r>
    </w:p>
    <w:p>
      <w:pPr>
        <w:spacing w:line="460" w:lineRule="exact"/>
        <w:ind w:firstLine="437"/>
        <w:jc w:val="left"/>
        <w:rPr>
          <w:rFonts w:hint="eastAsia" w:ascii="Times New Roman" w:hAnsi="Times New Roman" w:eastAsia="宋体" w:cs="楷体"/>
          <w:bCs/>
          <w:snapToGrid w:val="0"/>
          <w:color w:val="000000"/>
          <w:kern w:val="0"/>
          <w:sz w:val="24"/>
          <w:szCs w:val="24"/>
          <w:lang w:eastAsia="zh-CN"/>
        </w:rPr>
      </w:pPr>
      <w:r>
        <w:rPr>
          <w:rFonts w:ascii="Times New Roman" w:hAnsi="Times New Roman" w:cs="楷体"/>
          <w:bCs/>
          <w:snapToGrid w:val="0"/>
          <w:color w:val="000000"/>
          <w:kern w:val="0"/>
          <w:sz w:val="24"/>
          <w:szCs w:val="24"/>
        </w:rPr>
        <w:t>3.4</w:t>
      </w:r>
      <w:r>
        <w:rPr>
          <w:rFonts w:hint="eastAsia" w:ascii="Times New Roman" w:hAnsi="Times New Roman" w:cs="楷体"/>
          <w:bCs/>
          <w:snapToGrid w:val="0"/>
          <w:color w:val="000000"/>
          <w:kern w:val="0"/>
          <w:sz w:val="24"/>
          <w:szCs w:val="24"/>
        </w:rPr>
        <w:t xml:space="preserve"> 项目负责人业绩要求：</w:t>
      </w:r>
      <w:r>
        <w:rPr>
          <w:rFonts w:hint="eastAsia" w:ascii="Times New Roman" w:hAnsi="Times New Roman" w:eastAsia="宋体" w:cs="楷体"/>
          <w:bCs/>
          <w:snapToGrid w:val="0"/>
          <w:color w:val="000000"/>
          <w:kern w:val="0"/>
          <w:sz w:val="24"/>
          <w:szCs w:val="24"/>
          <w:lang w:eastAsia="zh-CN"/>
        </w:rPr>
        <w:t>详见招标文件</w:t>
      </w:r>
    </w:p>
    <w:p>
      <w:pPr>
        <w:spacing w:line="460" w:lineRule="exact"/>
        <w:ind w:firstLine="437"/>
        <w:jc w:val="left"/>
        <w:rPr>
          <w:rFonts w:hint="eastAsia" w:ascii="Times New Roman" w:hAnsi="Times New Roman" w:cs="楷体"/>
          <w:bCs/>
          <w:snapToGrid w:val="0"/>
          <w:color w:val="000000"/>
          <w:kern w:val="0"/>
          <w:sz w:val="24"/>
          <w:szCs w:val="24"/>
        </w:rPr>
      </w:pPr>
      <w:r>
        <w:rPr>
          <w:rFonts w:ascii="Times New Roman" w:hAnsi="Times New Roman" w:cs="楷体"/>
          <w:bCs/>
          <w:snapToGrid w:val="0"/>
          <w:color w:val="000000"/>
          <w:kern w:val="0"/>
          <w:sz w:val="24"/>
          <w:szCs w:val="24"/>
        </w:rPr>
        <w:t>3.5</w:t>
      </w:r>
      <w:r>
        <w:rPr>
          <w:rFonts w:hint="eastAsia" w:ascii="Times New Roman" w:hAnsi="Times New Roman" w:cs="楷体"/>
          <w:bCs/>
          <w:snapToGrid w:val="0"/>
          <w:color w:val="000000"/>
          <w:kern w:val="0"/>
          <w:sz w:val="24"/>
          <w:szCs w:val="24"/>
        </w:rPr>
        <w:t xml:space="preserve"> 投标人财务要求：</w:t>
      </w:r>
      <w:r>
        <w:rPr>
          <w:rFonts w:hint="eastAsia" w:ascii="宋体" w:hAnsi="宋体" w:cs="宋体"/>
          <w:color w:val="000000"/>
          <w:sz w:val="24"/>
          <w:szCs w:val="24"/>
        </w:rPr>
        <w:t>/</w:t>
      </w:r>
      <w:r>
        <w:rPr>
          <w:rFonts w:ascii="Times New Roman" w:hAnsi="Times New Roman" w:cs="楷体"/>
          <w:bCs/>
          <w:snapToGrid w:val="0"/>
          <w:color w:val="000000"/>
          <w:kern w:val="0"/>
          <w:sz w:val="24"/>
          <w:szCs w:val="24"/>
        </w:rPr>
        <w:t xml:space="preserve"> </w:t>
      </w:r>
    </w:p>
    <w:p>
      <w:pPr>
        <w:spacing w:line="460" w:lineRule="exact"/>
        <w:ind w:firstLine="437"/>
        <w:rPr>
          <w:rFonts w:hint="eastAsia" w:ascii="Times New Roman" w:hAnsi="Times New Roman"/>
          <w:bCs/>
          <w:snapToGrid w:val="0"/>
          <w:kern w:val="0"/>
          <w:sz w:val="24"/>
          <w:szCs w:val="24"/>
        </w:rPr>
      </w:pPr>
      <w:r>
        <w:rPr>
          <w:rFonts w:hint="eastAsia" w:ascii="Times New Roman" w:hAnsi="Times New Roman"/>
          <w:bCs/>
          <w:snapToGrid w:val="0"/>
          <w:kern w:val="0"/>
          <w:sz w:val="24"/>
          <w:szCs w:val="24"/>
        </w:rPr>
        <w:t>3.6投标人须符合下列情形之一:</w:t>
      </w:r>
    </w:p>
    <w:p>
      <w:pPr>
        <w:spacing w:line="460" w:lineRule="exact"/>
        <w:ind w:firstLine="437"/>
        <w:rPr>
          <w:rFonts w:hint="eastAsia" w:ascii="Times New Roman" w:hAnsi="Times New Roman"/>
          <w:bCs/>
          <w:snapToGrid w:val="0"/>
          <w:kern w:val="0"/>
          <w:sz w:val="24"/>
          <w:szCs w:val="24"/>
        </w:rPr>
      </w:pPr>
      <w:r>
        <w:rPr>
          <w:rFonts w:hint="eastAsia" w:ascii="Times New Roman" w:hAnsi="Times New Roman"/>
          <w:bCs/>
          <w:snapToGrid w:val="0"/>
          <w:kern w:val="0"/>
          <w:sz w:val="24"/>
          <w:szCs w:val="24"/>
        </w:rPr>
        <w:t>（1）开标日前两年内未被合肥市及其所辖县（市）公共资源交易监督管理部门记不良行为记录或记不良行为记录累计未满10分的；</w:t>
      </w:r>
    </w:p>
    <w:p>
      <w:pPr>
        <w:spacing w:line="460" w:lineRule="exact"/>
        <w:ind w:firstLine="437"/>
        <w:rPr>
          <w:rFonts w:hint="eastAsia" w:ascii="Times New Roman" w:hAnsi="Times New Roman"/>
          <w:bCs/>
          <w:snapToGrid w:val="0"/>
          <w:kern w:val="0"/>
          <w:sz w:val="24"/>
          <w:szCs w:val="24"/>
        </w:rPr>
      </w:pPr>
      <w:r>
        <w:rPr>
          <w:rFonts w:hint="eastAsia" w:ascii="Times New Roman" w:hAnsi="Times New Roman"/>
          <w:bCs/>
          <w:snapToGrid w:val="0"/>
          <w:kern w:val="0"/>
          <w:sz w:val="24"/>
          <w:szCs w:val="24"/>
        </w:rPr>
        <w:t>（2）最近一次被合肥市及其所辖县（市）公共资源交易监督管理部门记不良行为记录累计记分达10分（含10分）到15分且公布日距开标日超过6个月；</w:t>
      </w:r>
    </w:p>
    <w:p>
      <w:pPr>
        <w:spacing w:line="460" w:lineRule="exact"/>
        <w:ind w:firstLine="437"/>
        <w:rPr>
          <w:rFonts w:hint="eastAsia" w:ascii="Times New Roman" w:hAnsi="Times New Roman"/>
          <w:bCs/>
          <w:snapToGrid w:val="0"/>
          <w:kern w:val="0"/>
          <w:sz w:val="24"/>
          <w:szCs w:val="24"/>
        </w:rPr>
      </w:pPr>
      <w:r>
        <w:rPr>
          <w:rFonts w:hint="eastAsia" w:ascii="Times New Roman" w:hAnsi="Times New Roman"/>
          <w:bCs/>
          <w:snapToGrid w:val="0"/>
          <w:kern w:val="0"/>
          <w:sz w:val="24"/>
          <w:szCs w:val="24"/>
        </w:rPr>
        <w:t>（3）最近一次被合肥市及其所辖县（市）公共资源交易监督管理部门记不良行为记录累计记分达15分（含15分）到20分且公布日距开标日超过12个月；</w:t>
      </w:r>
    </w:p>
    <w:p>
      <w:pPr>
        <w:spacing w:line="460" w:lineRule="exact"/>
        <w:ind w:firstLine="437"/>
        <w:rPr>
          <w:rFonts w:ascii="Times New Roman" w:hAnsi="Times New Roman"/>
          <w:bCs/>
          <w:snapToGrid w:val="0"/>
          <w:kern w:val="0"/>
          <w:sz w:val="24"/>
          <w:szCs w:val="24"/>
        </w:rPr>
      </w:pPr>
      <w:r>
        <w:rPr>
          <w:rFonts w:hint="eastAsia" w:ascii="Times New Roman" w:hAnsi="Times New Roman"/>
          <w:bCs/>
          <w:snapToGrid w:val="0"/>
          <w:kern w:val="0"/>
          <w:sz w:val="24"/>
          <w:szCs w:val="24"/>
        </w:rPr>
        <w:t>（4）最近一次被合肥市及其所辖县（市）公共资源交易监督管理部门记不良行为记录累计记分达20分（含20分）及以上且公布日距开标日超过24个月。</w:t>
      </w:r>
    </w:p>
    <w:p>
      <w:pPr>
        <w:spacing w:line="460" w:lineRule="exact"/>
        <w:ind w:firstLine="437"/>
        <w:rPr>
          <w:rFonts w:ascii="Times New Roman" w:hAnsi="Times New Roman"/>
          <w:color w:val="000000"/>
          <w:sz w:val="24"/>
          <w:szCs w:val="24"/>
        </w:rPr>
      </w:pPr>
      <w:r>
        <w:rPr>
          <w:rFonts w:ascii="Times New Roman" w:hAnsi="Times New Roman" w:cs="楷体"/>
          <w:bCs/>
          <w:snapToGrid w:val="0"/>
          <w:color w:val="000000"/>
          <w:kern w:val="0"/>
          <w:sz w:val="24"/>
          <w:szCs w:val="24"/>
        </w:rPr>
        <w:t>3.</w:t>
      </w:r>
      <w:r>
        <w:rPr>
          <w:rFonts w:hint="eastAsia" w:ascii="Times New Roman" w:hAnsi="Times New Roman" w:cs="楷体"/>
          <w:bCs/>
          <w:snapToGrid w:val="0"/>
          <w:color w:val="000000"/>
          <w:kern w:val="0"/>
          <w:sz w:val="24"/>
          <w:szCs w:val="24"/>
        </w:rPr>
        <w:t>7 本次招标</w:t>
      </w:r>
      <w:r>
        <w:rPr>
          <w:rFonts w:hint="eastAsia" w:ascii="Times New Roman" w:hAnsi="Times New Roman"/>
          <w:bCs/>
          <w:snapToGrid w:val="0"/>
          <w:kern w:val="0"/>
          <w:sz w:val="24"/>
          <w:szCs w:val="24"/>
        </w:rPr>
        <w:t>不接受</w:t>
      </w:r>
      <w:r>
        <w:rPr>
          <w:rFonts w:ascii="Times New Roman" w:hAnsi="Times New Roman" w:cs="楷体"/>
          <w:bCs/>
          <w:snapToGrid w:val="0"/>
          <w:color w:val="000000"/>
          <w:kern w:val="0"/>
          <w:sz w:val="24"/>
          <w:szCs w:val="24"/>
        </w:rPr>
        <w:t>联合体投标。</w:t>
      </w:r>
    </w:p>
    <w:p>
      <w:pPr>
        <w:spacing w:after="0" w:line="383" w:lineRule="auto"/>
        <w:ind w:left="172" w:firstLine="441" w:firstLineChars="184"/>
      </w:pPr>
      <w:r>
        <w:rPr>
          <w:rFonts w:ascii="Times New Roman" w:hAnsi="Times New Roman" w:cs="楷体"/>
          <w:bCs/>
          <w:snapToGrid w:val="0"/>
          <w:color w:val="000000"/>
          <w:kern w:val="0"/>
          <w:sz w:val="24"/>
          <w:szCs w:val="24"/>
        </w:rPr>
        <w:t>3.</w:t>
      </w:r>
      <w:r>
        <w:rPr>
          <w:rFonts w:hint="eastAsia" w:ascii="Times New Roman" w:hAnsi="Times New Roman" w:cs="楷体"/>
          <w:bCs/>
          <w:snapToGrid w:val="0"/>
          <w:color w:val="000000"/>
          <w:kern w:val="0"/>
          <w:sz w:val="24"/>
          <w:szCs w:val="24"/>
        </w:rPr>
        <w:t xml:space="preserve">8 </w:t>
      </w:r>
      <w:r>
        <w:t xml:space="preserve">投标人存在以下不良信用记录情形之一的，不得推荐为中标候选人，不得确定为中标人： </w:t>
      </w:r>
    </w:p>
    <w:p>
      <w:pPr>
        <w:spacing w:line="240" w:lineRule="auto"/>
        <w:ind w:left="399"/>
      </w:pPr>
      <w:r>
        <w:t xml:space="preserve">1）投标人被人民法院列入失信被执行人的； </w:t>
      </w:r>
    </w:p>
    <w:p>
      <w:pPr>
        <w:spacing w:line="240" w:lineRule="auto"/>
        <w:ind w:left="399"/>
      </w:pPr>
      <w:r>
        <w:t xml:space="preserve">2）投标人或其法定代表人被人民检察院列入行贿犯罪档案的；  </w:t>
      </w:r>
    </w:p>
    <w:p>
      <w:pPr>
        <w:spacing w:line="240" w:lineRule="auto"/>
        <w:ind w:left="399" w:right="645"/>
      </w:pPr>
      <w:r>
        <w:t xml:space="preserve">3）投标人被工商行政管理部门列入企业经营异常名录的； </w:t>
      </w:r>
    </w:p>
    <w:p>
      <w:pPr>
        <w:spacing w:line="240" w:lineRule="auto"/>
        <w:ind w:left="399" w:right="645"/>
        <w:rPr>
          <w:rFonts w:ascii="楷体" w:hAnsi="楷体" w:eastAsia="楷体"/>
          <w:sz w:val="24"/>
          <w:szCs w:val="24"/>
        </w:rPr>
      </w:pPr>
      <w:r>
        <w:t>4）投标人被税务部门列入重大税收违法案件当事人名单的；</w:t>
      </w:r>
    </w:p>
    <w:p>
      <w:pPr>
        <w:spacing w:before="240" w:beforeLines="100" w:after="240" w:afterLines="100"/>
        <w:ind w:left="410" w:leftChars="171" w:firstLine="228" w:firstLineChars="95"/>
        <w:rPr>
          <w:rFonts w:ascii="黑体" w:hAnsi="Times New Roman" w:eastAsia="黑体"/>
          <w:sz w:val="24"/>
          <w:szCs w:val="24"/>
        </w:rPr>
      </w:pPr>
      <w:r>
        <w:rPr>
          <w:rFonts w:ascii="黑体" w:hAnsi="Times New Roman" w:eastAsia="黑体"/>
          <w:sz w:val="24"/>
          <w:szCs w:val="24"/>
        </w:rPr>
        <w:t>4.</w:t>
      </w:r>
      <w:r>
        <w:rPr>
          <w:rFonts w:hint="eastAsia" w:ascii="黑体" w:hAnsi="Times New Roman" w:eastAsia="黑体"/>
          <w:sz w:val="24"/>
          <w:szCs w:val="24"/>
        </w:rPr>
        <w:t>招标文件的获取</w:t>
      </w:r>
    </w:p>
    <w:p>
      <w:pPr>
        <w:spacing w:line="460" w:lineRule="exact"/>
        <w:ind w:firstLine="437"/>
        <w:rPr>
          <w:rFonts w:hint="eastAsia" w:ascii="Times New Roman" w:hAnsi="Times New Roman" w:cs="楷体"/>
          <w:bCs/>
          <w:snapToGrid w:val="0"/>
          <w:color w:val="auto"/>
          <w:kern w:val="0"/>
          <w:sz w:val="24"/>
          <w:szCs w:val="24"/>
        </w:rPr>
      </w:pPr>
      <w:r>
        <w:rPr>
          <w:rFonts w:hint="eastAsia" w:ascii="Times New Roman" w:hAnsi="Times New Roman" w:cs="楷体"/>
          <w:bCs/>
          <w:snapToGrid w:val="0"/>
          <w:color w:val="auto"/>
          <w:kern w:val="0"/>
          <w:sz w:val="24"/>
          <w:szCs w:val="24"/>
        </w:rPr>
        <w:t>4.1 获取时间：</w:t>
      </w:r>
      <w:r>
        <w:rPr>
          <w:rFonts w:ascii="Times New Roman" w:hAnsi="Times New Roman" w:cs="楷体"/>
          <w:bCs/>
          <w:snapToGrid w:val="0"/>
          <w:color w:val="auto"/>
          <w:kern w:val="0"/>
          <w:sz w:val="24"/>
          <w:szCs w:val="24"/>
        </w:rPr>
        <w:t>2021</w:t>
      </w:r>
      <w:r>
        <w:rPr>
          <w:rFonts w:hint="eastAsia" w:ascii="Times New Roman" w:hAnsi="Times New Roman" w:cs="楷体"/>
          <w:bCs/>
          <w:snapToGrid w:val="0"/>
          <w:color w:val="auto"/>
          <w:kern w:val="0"/>
          <w:sz w:val="24"/>
          <w:szCs w:val="24"/>
        </w:rPr>
        <w:t>年</w:t>
      </w:r>
      <w:r>
        <w:rPr>
          <w:rFonts w:hint="eastAsia" w:ascii="Times New Roman" w:hAnsi="Times New Roman" w:eastAsia="宋体" w:cs="楷体"/>
          <w:bCs/>
          <w:snapToGrid w:val="0"/>
          <w:color w:val="auto"/>
          <w:kern w:val="0"/>
          <w:sz w:val="24"/>
          <w:szCs w:val="24"/>
          <w:lang w:val="en-US" w:eastAsia="zh-CN"/>
        </w:rPr>
        <w:t>12</w:t>
      </w:r>
      <w:r>
        <w:rPr>
          <w:rFonts w:hint="eastAsia" w:ascii="Times New Roman" w:hAnsi="Times New Roman" w:cs="楷体"/>
          <w:bCs/>
          <w:snapToGrid w:val="0"/>
          <w:color w:val="auto"/>
          <w:kern w:val="0"/>
          <w:sz w:val="24"/>
          <w:szCs w:val="24"/>
        </w:rPr>
        <w:t>月</w:t>
      </w:r>
      <w:r>
        <w:rPr>
          <w:rFonts w:hint="eastAsia" w:ascii="Times New Roman" w:hAnsi="Times New Roman" w:eastAsia="宋体" w:cs="楷体"/>
          <w:bCs/>
          <w:snapToGrid w:val="0"/>
          <w:color w:val="auto"/>
          <w:kern w:val="0"/>
          <w:sz w:val="24"/>
          <w:szCs w:val="24"/>
          <w:lang w:val="en-US" w:eastAsia="zh-CN"/>
        </w:rPr>
        <w:t>13</w:t>
      </w:r>
      <w:r>
        <w:rPr>
          <w:rFonts w:hint="eastAsia" w:ascii="Times New Roman" w:hAnsi="Times New Roman" w:cs="楷体"/>
          <w:bCs/>
          <w:snapToGrid w:val="0"/>
          <w:color w:val="auto"/>
          <w:kern w:val="0"/>
          <w:sz w:val="24"/>
          <w:szCs w:val="24"/>
        </w:rPr>
        <w:t>日至</w:t>
      </w:r>
      <w:r>
        <w:rPr>
          <w:rFonts w:ascii="Times New Roman" w:hAnsi="Times New Roman" w:cs="楷体"/>
          <w:bCs/>
          <w:snapToGrid w:val="0"/>
          <w:color w:val="auto"/>
          <w:kern w:val="0"/>
          <w:sz w:val="24"/>
          <w:szCs w:val="24"/>
        </w:rPr>
        <w:t>2021</w:t>
      </w:r>
      <w:r>
        <w:rPr>
          <w:rFonts w:hint="eastAsia" w:ascii="Times New Roman" w:hAnsi="Times New Roman" w:cs="楷体"/>
          <w:bCs/>
          <w:snapToGrid w:val="0"/>
          <w:color w:val="auto"/>
          <w:kern w:val="0"/>
          <w:sz w:val="24"/>
          <w:szCs w:val="24"/>
        </w:rPr>
        <w:t>年</w:t>
      </w:r>
      <w:r>
        <w:rPr>
          <w:rFonts w:hint="eastAsia" w:ascii="Times New Roman" w:hAnsi="Times New Roman" w:eastAsia="宋体" w:cs="楷体"/>
          <w:bCs/>
          <w:snapToGrid w:val="0"/>
          <w:color w:val="auto"/>
          <w:kern w:val="0"/>
          <w:sz w:val="24"/>
          <w:szCs w:val="24"/>
          <w:lang w:val="en-US" w:eastAsia="zh-CN"/>
        </w:rPr>
        <w:t>12</w:t>
      </w:r>
      <w:r>
        <w:rPr>
          <w:rFonts w:hint="eastAsia" w:ascii="Times New Roman" w:hAnsi="Times New Roman" w:cs="楷体"/>
          <w:bCs/>
          <w:snapToGrid w:val="0"/>
          <w:color w:val="auto"/>
          <w:kern w:val="0"/>
          <w:sz w:val="24"/>
          <w:szCs w:val="24"/>
        </w:rPr>
        <w:t>月</w:t>
      </w:r>
      <w:r>
        <w:rPr>
          <w:rFonts w:hint="eastAsia" w:ascii="Times New Roman" w:hAnsi="Times New Roman" w:eastAsia="宋体" w:cs="楷体"/>
          <w:bCs/>
          <w:snapToGrid w:val="0"/>
          <w:color w:val="auto"/>
          <w:kern w:val="0"/>
          <w:sz w:val="24"/>
          <w:szCs w:val="24"/>
          <w:lang w:val="en-US" w:eastAsia="zh-CN"/>
        </w:rPr>
        <w:t>19</w:t>
      </w:r>
      <w:r>
        <w:rPr>
          <w:rFonts w:hint="eastAsia" w:ascii="Times New Roman" w:hAnsi="Times New Roman" w:cs="楷体"/>
          <w:bCs/>
          <w:snapToGrid w:val="0"/>
          <w:color w:val="auto"/>
          <w:kern w:val="0"/>
          <w:sz w:val="24"/>
          <w:szCs w:val="24"/>
        </w:rPr>
        <w:t>日。</w:t>
      </w:r>
    </w:p>
    <w:p>
      <w:pPr>
        <w:spacing w:line="460" w:lineRule="exact"/>
        <w:ind w:firstLine="437"/>
        <w:rPr>
          <w:rFonts w:hint="eastAsia" w:ascii="Times New Roman" w:hAnsi="Times New Roman" w:cs="楷体"/>
          <w:bCs/>
          <w:snapToGrid w:val="0"/>
          <w:color w:val="auto"/>
          <w:kern w:val="0"/>
          <w:sz w:val="24"/>
          <w:szCs w:val="24"/>
        </w:rPr>
      </w:pPr>
      <w:r>
        <w:rPr>
          <w:rFonts w:hint="eastAsia" w:ascii="Times New Roman" w:hAnsi="Times New Roman" w:cs="楷体"/>
          <w:bCs/>
          <w:snapToGrid w:val="0"/>
          <w:color w:val="auto"/>
          <w:kern w:val="0"/>
          <w:sz w:val="24"/>
          <w:szCs w:val="24"/>
        </w:rPr>
        <w:t>4.2 获取方式：</w:t>
      </w:r>
    </w:p>
    <w:p>
      <w:pPr>
        <w:spacing w:line="383" w:lineRule="auto"/>
        <w:ind w:left="410" w:leftChars="171" w:firstLine="228" w:firstLineChars="95"/>
        <w:rPr>
          <w:color w:val="auto"/>
        </w:rPr>
      </w:pPr>
      <w:r>
        <w:rPr>
          <w:color w:val="auto"/>
        </w:rPr>
        <w:t>（1）潜在投标人须登录系统查阅、获取招标文件。</w:t>
      </w:r>
    </w:p>
    <w:p>
      <w:pPr>
        <w:spacing w:line="389" w:lineRule="auto"/>
        <w:ind w:left="410" w:leftChars="171" w:firstLine="228" w:firstLineChars="95"/>
        <w:rPr>
          <w:rFonts w:eastAsiaTheme="minorEastAsia"/>
          <w:color w:val="auto"/>
        </w:rPr>
      </w:pPr>
      <w:r>
        <w:rPr>
          <w:color w:val="auto"/>
        </w:rPr>
        <w:t>（2）招标保证金费用（人民币</w:t>
      </w:r>
      <w:r>
        <w:rPr>
          <w:rFonts w:hint="eastAsia" w:eastAsia="宋体"/>
          <w:color w:val="auto"/>
          <w:lang w:val="en-US" w:eastAsia="zh-CN"/>
        </w:rPr>
        <w:t>0</w:t>
      </w:r>
      <w:r>
        <w:rPr>
          <w:rFonts w:eastAsiaTheme="minorEastAsia"/>
          <w:color w:val="auto"/>
        </w:rPr>
        <w:t>元</w:t>
      </w:r>
      <w:r>
        <w:rPr>
          <w:color w:val="auto"/>
        </w:rPr>
        <w:t xml:space="preserve">）采用网上支付。如无网上银行账号，请及时前往银行办理。 </w:t>
      </w:r>
    </w:p>
    <w:p>
      <w:pPr>
        <w:spacing w:before="240" w:beforeLines="100" w:after="240" w:afterLines="100"/>
        <w:rPr>
          <w:rFonts w:ascii="黑体" w:hAnsi="Times New Roman" w:eastAsia="黑体"/>
          <w:color w:val="auto"/>
          <w:sz w:val="24"/>
          <w:szCs w:val="24"/>
        </w:rPr>
      </w:pPr>
      <w:r>
        <w:rPr>
          <w:rFonts w:ascii="黑体" w:hAnsi="Times New Roman" w:eastAsia="黑体"/>
          <w:color w:val="auto"/>
          <w:sz w:val="24"/>
          <w:szCs w:val="24"/>
        </w:rPr>
        <w:t xml:space="preserve">5. </w:t>
      </w:r>
      <w:r>
        <w:rPr>
          <w:rFonts w:hint="eastAsia" w:ascii="黑体" w:hAnsi="Times New Roman" w:eastAsia="黑体"/>
          <w:color w:val="auto"/>
          <w:sz w:val="24"/>
          <w:szCs w:val="24"/>
        </w:rPr>
        <w:t>投标文件的递交</w:t>
      </w:r>
    </w:p>
    <w:p>
      <w:pPr>
        <w:spacing w:line="440" w:lineRule="exact"/>
        <w:ind w:firstLine="435"/>
        <w:rPr>
          <w:rFonts w:ascii="Times New Roman" w:hAnsi="Times New Roman" w:cs="楷体"/>
          <w:bCs/>
          <w:snapToGrid w:val="0"/>
          <w:color w:val="auto"/>
          <w:kern w:val="0"/>
          <w:sz w:val="24"/>
          <w:szCs w:val="24"/>
        </w:rPr>
      </w:pPr>
      <w:r>
        <w:rPr>
          <w:rFonts w:hint="eastAsia"/>
          <w:color w:val="auto"/>
          <w:sz w:val="24"/>
          <w:szCs w:val="24"/>
        </w:rPr>
        <w:t>本项目采用</w:t>
      </w:r>
      <w:r>
        <w:rPr>
          <w:rFonts w:hint="eastAsia" w:eastAsia="宋体"/>
          <w:color w:val="auto"/>
          <w:sz w:val="24"/>
          <w:szCs w:val="24"/>
          <w:lang w:eastAsia="zh-CN"/>
        </w:rPr>
        <w:t>纸质</w:t>
      </w:r>
      <w:r>
        <w:rPr>
          <w:rFonts w:hint="eastAsia"/>
          <w:color w:val="auto"/>
          <w:sz w:val="24"/>
          <w:szCs w:val="24"/>
        </w:rPr>
        <w:t>投标方式</w:t>
      </w:r>
      <w:r>
        <w:rPr>
          <w:rFonts w:hint="eastAsia" w:eastAsia="宋体"/>
          <w:color w:val="auto"/>
          <w:sz w:val="24"/>
          <w:szCs w:val="24"/>
          <w:lang w:eastAsia="zh-CN"/>
        </w:rPr>
        <w:t>，</w:t>
      </w:r>
      <w:r>
        <w:rPr>
          <w:rFonts w:hint="eastAsia" w:ascii="Times New Roman" w:hAnsi="Times New Roman" w:eastAsia="宋体" w:cs="楷体"/>
          <w:bCs/>
          <w:snapToGrid w:val="0"/>
          <w:color w:val="auto"/>
          <w:kern w:val="0"/>
          <w:sz w:val="24"/>
          <w:szCs w:val="24"/>
          <w:lang w:eastAsia="zh-CN"/>
        </w:rPr>
        <w:t>需逐页盖章及密封投递，一式</w:t>
      </w:r>
      <w:r>
        <w:rPr>
          <w:rFonts w:hint="eastAsia" w:ascii="Times New Roman" w:hAnsi="Times New Roman" w:eastAsia="宋体" w:cs="楷体"/>
          <w:bCs/>
          <w:snapToGrid w:val="0"/>
          <w:color w:val="auto"/>
          <w:kern w:val="0"/>
          <w:sz w:val="24"/>
          <w:szCs w:val="24"/>
          <w:lang w:val="en-US" w:eastAsia="zh-CN"/>
        </w:rPr>
        <w:t>6份，内附联系方式，</w:t>
      </w:r>
      <w:r>
        <w:rPr>
          <w:rFonts w:hint="eastAsia" w:ascii="Times New Roman" w:hAnsi="Times New Roman" w:eastAsia="宋体" w:cs="楷体"/>
          <w:bCs/>
          <w:snapToGrid w:val="0"/>
          <w:color w:val="auto"/>
          <w:kern w:val="0"/>
          <w:sz w:val="24"/>
          <w:szCs w:val="24"/>
          <w:lang w:eastAsia="zh-CN"/>
        </w:rPr>
        <w:t>投标文件装订顺序与投标格式详见第六章。</w:t>
      </w:r>
      <w:r>
        <w:rPr>
          <w:rFonts w:hint="eastAsia"/>
          <w:color w:val="auto"/>
          <w:lang w:eastAsia="zh-CN"/>
        </w:rPr>
        <w:t>递交</w:t>
      </w:r>
      <w:r>
        <w:rPr>
          <w:rFonts w:hint="eastAsia"/>
          <w:color w:val="auto"/>
        </w:rPr>
        <w:t>截止时间为</w:t>
      </w:r>
      <w:r>
        <w:rPr>
          <w:color w:val="auto"/>
        </w:rPr>
        <w:t>2</w:t>
      </w:r>
      <w:r>
        <w:rPr>
          <w:rFonts w:hint="eastAsia"/>
          <w:color w:val="auto"/>
        </w:rPr>
        <w:t>02</w:t>
      </w:r>
      <w:r>
        <w:rPr>
          <w:color w:val="auto"/>
        </w:rPr>
        <w:t>1</w:t>
      </w:r>
      <w:r>
        <w:rPr>
          <w:rFonts w:hint="eastAsia"/>
          <w:color w:val="auto"/>
        </w:rPr>
        <w:t>年</w:t>
      </w:r>
      <w:r>
        <w:rPr>
          <w:rFonts w:hint="eastAsia"/>
          <w:color w:val="auto"/>
          <w:lang w:val="en-US" w:eastAsia="zh-CN"/>
        </w:rPr>
        <w:t>12</w:t>
      </w:r>
      <w:r>
        <w:rPr>
          <w:rFonts w:hint="eastAsia"/>
          <w:color w:val="auto"/>
        </w:rPr>
        <w:t>月</w:t>
      </w:r>
      <w:r>
        <w:rPr>
          <w:rFonts w:hint="eastAsia" w:eastAsia="宋体"/>
          <w:color w:val="auto"/>
          <w:lang w:val="en-US" w:eastAsia="zh-CN"/>
        </w:rPr>
        <w:t>19</w:t>
      </w:r>
      <w:r>
        <w:rPr>
          <w:rFonts w:hint="eastAsia"/>
          <w:color w:val="auto"/>
        </w:rPr>
        <w:t>日</w:t>
      </w:r>
      <w:r>
        <w:rPr>
          <w:rFonts w:hint="eastAsia"/>
          <w:color w:val="auto"/>
          <w:lang w:val="en-US" w:eastAsia="zh-CN"/>
        </w:rPr>
        <w:t>17:30</w:t>
      </w:r>
      <w:r>
        <w:rPr>
          <w:rFonts w:hint="eastAsia"/>
          <w:color w:val="auto"/>
        </w:rPr>
        <w:t>，</w:t>
      </w:r>
      <w:r>
        <w:rPr>
          <w:rFonts w:hint="eastAsia" w:ascii="Times New Roman" w:hAnsi="Times New Roman" w:cs="楷体"/>
          <w:bCs/>
          <w:snapToGrid w:val="0"/>
          <w:color w:val="auto"/>
          <w:kern w:val="0"/>
          <w:sz w:val="24"/>
          <w:szCs w:val="24"/>
        </w:rPr>
        <w:t>投标人应在截止时间前</w:t>
      </w:r>
      <w:r>
        <w:rPr>
          <w:rFonts w:hint="eastAsia" w:ascii="Times New Roman" w:hAnsi="Times New Roman" w:eastAsia="宋体" w:cs="楷体"/>
          <w:bCs/>
          <w:snapToGrid w:val="0"/>
          <w:color w:val="auto"/>
          <w:kern w:val="0"/>
          <w:sz w:val="24"/>
          <w:szCs w:val="24"/>
          <w:lang w:eastAsia="zh-CN"/>
        </w:rPr>
        <w:t>将投标文件邮递至</w:t>
      </w:r>
      <w:r>
        <w:rPr>
          <w:rFonts w:hint="eastAsia" w:eastAsia="宋体" w:cs="楷体"/>
          <w:bCs/>
          <w:snapToGrid w:val="0"/>
          <w:color w:val="auto"/>
          <w:kern w:val="0"/>
          <w:sz w:val="24"/>
          <w:szCs w:val="24"/>
          <w:lang w:eastAsia="zh-CN"/>
        </w:rPr>
        <w:t>水湖镇圆梦苑长丰供水集团有限公司三楼办公室</w:t>
      </w:r>
      <w:r>
        <w:rPr>
          <w:rFonts w:hint="eastAsia" w:ascii="Times New Roman" w:hAnsi="Times New Roman" w:cs="楷体"/>
          <w:bCs/>
          <w:snapToGrid w:val="0"/>
          <w:color w:val="auto"/>
          <w:kern w:val="0"/>
          <w:sz w:val="24"/>
          <w:szCs w:val="24"/>
        </w:rPr>
        <w:t>。</w:t>
      </w:r>
    </w:p>
    <w:p>
      <w:pPr>
        <w:spacing w:before="240" w:beforeLines="100" w:after="240" w:afterLines="100"/>
        <w:rPr>
          <w:rFonts w:ascii="黑体" w:hAnsi="Times New Roman" w:eastAsia="黑体"/>
          <w:sz w:val="24"/>
          <w:szCs w:val="24"/>
        </w:rPr>
      </w:pPr>
      <w:r>
        <w:rPr>
          <w:rFonts w:hint="eastAsia" w:ascii="黑体" w:hAnsi="Times New Roman" w:eastAsia="黑体"/>
          <w:sz w:val="24"/>
          <w:szCs w:val="24"/>
        </w:rPr>
        <w:t>6.开标时间及地点</w:t>
      </w:r>
    </w:p>
    <w:p>
      <w:pPr>
        <w:spacing w:line="440" w:lineRule="exact"/>
        <w:ind w:firstLine="480" w:firstLineChars="200"/>
        <w:rPr>
          <w:rFonts w:hint="eastAsia" w:ascii="Times New Roman" w:hAnsi="Times New Roman" w:cs="楷体"/>
          <w:bCs/>
          <w:snapToGrid w:val="0"/>
          <w:color w:val="000000"/>
          <w:kern w:val="0"/>
          <w:sz w:val="24"/>
          <w:szCs w:val="24"/>
        </w:rPr>
      </w:pPr>
      <w:r>
        <w:rPr>
          <w:rFonts w:hint="eastAsia" w:ascii="Times New Roman" w:hAnsi="Times New Roman" w:cs="楷体"/>
          <w:bCs/>
          <w:snapToGrid w:val="0"/>
          <w:color w:val="000000"/>
          <w:kern w:val="0"/>
          <w:sz w:val="24"/>
          <w:szCs w:val="24"/>
        </w:rPr>
        <w:t>6.1 开标时间：</w:t>
      </w:r>
    </w:p>
    <w:p>
      <w:pPr>
        <w:spacing w:line="440" w:lineRule="exact"/>
        <w:ind w:firstLine="480" w:firstLineChars="200"/>
        <w:rPr>
          <w:rFonts w:hint="eastAsia" w:ascii="宋体" w:hAnsi="宋体" w:eastAsia="宋体"/>
          <w:sz w:val="24"/>
          <w:szCs w:val="24"/>
          <w:lang w:eastAsia="zh-CN"/>
        </w:rPr>
      </w:pPr>
      <w:r>
        <w:rPr>
          <w:rFonts w:hint="eastAsia" w:ascii="Times New Roman" w:hAnsi="Times New Roman" w:cs="楷体"/>
          <w:bCs/>
          <w:snapToGrid w:val="0"/>
          <w:color w:val="000000"/>
          <w:kern w:val="0"/>
          <w:sz w:val="24"/>
          <w:szCs w:val="24"/>
        </w:rPr>
        <w:t>6.2 开标地点：</w:t>
      </w:r>
      <w:r>
        <w:rPr>
          <w:rFonts w:hint="eastAsia" w:eastAsia="宋体" w:cs="楷体"/>
          <w:bCs/>
          <w:snapToGrid w:val="0"/>
          <w:color w:val="000000"/>
          <w:kern w:val="0"/>
          <w:sz w:val="24"/>
          <w:szCs w:val="24"/>
          <w:lang w:eastAsia="zh-CN"/>
        </w:rPr>
        <w:t>长丰供水集团二楼会议室</w:t>
      </w:r>
    </w:p>
    <w:p>
      <w:pPr>
        <w:spacing w:before="240" w:beforeLines="100" w:after="240" w:afterLines="100"/>
        <w:rPr>
          <w:rFonts w:hint="eastAsia" w:ascii="黑体" w:hAnsi="Times New Roman" w:eastAsia="黑体"/>
          <w:sz w:val="24"/>
          <w:szCs w:val="24"/>
          <w:lang w:eastAsia="zh-CN"/>
        </w:rPr>
      </w:pPr>
      <w:r>
        <w:rPr>
          <w:rFonts w:ascii="黑体" w:hAnsi="Times New Roman" w:eastAsia="黑体"/>
          <w:sz w:val="24"/>
          <w:szCs w:val="24"/>
        </w:rPr>
        <w:t xml:space="preserve">7. </w:t>
      </w:r>
      <w:r>
        <w:rPr>
          <w:rFonts w:hint="eastAsia" w:ascii="黑体" w:hAnsi="Times New Roman" w:eastAsia="黑体"/>
          <w:sz w:val="24"/>
          <w:szCs w:val="24"/>
        </w:rPr>
        <w:t>发布公告的媒介</w:t>
      </w:r>
    </w:p>
    <w:p>
      <w:pPr>
        <w:spacing w:before="240" w:beforeLines="100" w:after="240" w:afterLines="100"/>
        <w:rPr>
          <w:rFonts w:ascii="黑体" w:hAnsi="Times New Roman" w:eastAsia="黑体"/>
          <w:sz w:val="24"/>
          <w:szCs w:val="24"/>
        </w:rPr>
      </w:pPr>
      <w:r>
        <w:rPr>
          <w:rFonts w:hint="eastAsia" w:ascii="黑体" w:hAnsi="Times New Roman" w:eastAsia="黑体"/>
          <w:sz w:val="24"/>
          <w:szCs w:val="24"/>
        </w:rPr>
        <w:t>8.联系方式</w:t>
      </w:r>
    </w:p>
    <w:p>
      <w:pPr>
        <w:spacing w:line="440" w:lineRule="exact"/>
        <w:ind w:firstLine="480" w:firstLineChars="200"/>
        <w:rPr>
          <w:rFonts w:hint="eastAsia" w:ascii="Times New Roman" w:hAnsi="Times New Roman" w:cs="楷体"/>
          <w:bCs/>
          <w:snapToGrid w:val="0"/>
          <w:color w:val="000000"/>
          <w:kern w:val="0"/>
          <w:sz w:val="24"/>
          <w:szCs w:val="24"/>
        </w:rPr>
      </w:pPr>
      <w:r>
        <w:rPr>
          <w:rFonts w:hint="eastAsia" w:ascii="Times New Roman" w:hAnsi="Times New Roman" w:cs="楷体"/>
          <w:bCs/>
          <w:snapToGrid w:val="0"/>
          <w:color w:val="000000"/>
          <w:kern w:val="0"/>
          <w:sz w:val="24"/>
          <w:szCs w:val="24"/>
        </w:rPr>
        <w:t>8.1 招标人</w:t>
      </w:r>
    </w:p>
    <w:p>
      <w:pPr>
        <w:spacing w:line="400" w:lineRule="exact"/>
        <w:ind w:firstLine="480" w:firstLineChars="200"/>
        <w:rPr>
          <w:rFonts w:hint="eastAsia"/>
          <w:sz w:val="24"/>
          <w:szCs w:val="24"/>
        </w:rPr>
      </w:pPr>
      <w:r>
        <w:rPr>
          <w:rFonts w:hint="eastAsia"/>
          <w:sz w:val="24"/>
          <w:szCs w:val="24"/>
        </w:rPr>
        <w:t xml:space="preserve">招 标 人： 长丰供水集团有限公司    </w:t>
      </w:r>
    </w:p>
    <w:p>
      <w:pPr>
        <w:spacing w:line="400" w:lineRule="exact"/>
        <w:ind w:firstLine="480" w:firstLineChars="200"/>
        <w:rPr>
          <w:rFonts w:hint="eastAsia"/>
          <w:sz w:val="24"/>
          <w:szCs w:val="24"/>
        </w:rPr>
      </w:pPr>
      <w:r>
        <w:rPr>
          <w:rFonts w:hint="eastAsia"/>
          <w:sz w:val="24"/>
          <w:szCs w:val="24"/>
        </w:rPr>
        <w:t xml:space="preserve">地    址： 长丰县水湖镇荣锦圆梦苑              </w:t>
      </w:r>
    </w:p>
    <w:p>
      <w:pPr>
        <w:spacing w:line="400" w:lineRule="exact"/>
        <w:ind w:firstLine="480" w:firstLineChars="200"/>
        <w:rPr>
          <w:rFonts w:hint="eastAsia"/>
          <w:sz w:val="24"/>
          <w:szCs w:val="24"/>
        </w:rPr>
      </w:pPr>
      <w:r>
        <w:rPr>
          <w:rFonts w:hint="eastAsia"/>
          <w:sz w:val="24"/>
          <w:szCs w:val="24"/>
        </w:rPr>
        <w:t xml:space="preserve">邮    编： 231100                                  </w:t>
      </w:r>
    </w:p>
    <w:p>
      <w:pPr>
        <w:spacing w:line="400" w:lineRule="exact"/>
        <w:ind w:firstLine="480" w:firstLineChars="200"/>
        <w:rPr>
          <w:rFonts w:hint="eastAsia"/>
          <w:sz w:val="24"/>
          <w:szCs w:val="24"/>
        </w:rPr>
      </w:pPr>
      <w:r>
        <w:rPr>
          <w:rFonts w:hint="eastAsia"/>
          <w:sz w:val="24"/>
          <w:szCs w:val="24"/>
        </w:rPr>
        <w:t xml:space="preserve">电    话： </w:t>
      </w:r>
      <w:r>
        <w:rPr>
          <w:sz w:val="24"/>
          <w:szCs w:val="24"/>
        </w:rPr>
        <w:t>0551-66671460</w:t>
      </w:r>
      <w:r>
        <w:rPr>
          <w:rFonts w:hint="eastAsia"/>
          <w:sz w:val="24"/>
          <w:szCs w:val="24"/>
        </w:rPr>
        <w:t xml:space="preserve">           </w:t>
      </w:r>
    </w:p>
    <w:p>
      <w:pPr>
        <w:spacing w:line="440" w:lineRule="exact"/>
        <w:ind w:firstLine="435"/>
        <w:rPr>
          <w:rFonts w:hint="eastAsia"/>
          <w:sz w:val="24"/>
          <w:szCs w:val="24"/>
        </w:rPr>
      </w:pPr>
      <w:r>
        <w:rPr>
          <w:rFonts w:hint="eastAsia"/>
          <w:sz w:val="24"/>
          <w:szCs w:val="24"/>
        </w:rPr>
        <w:t>8.2  招标监督管理机构</w:t>
      </w:r>
    </w:p>
    <w:p>
      <w:pPr>
        <w:spacing w:line="440" w:lineRule="exact"/>
        <w:ind w:firstLine="435"/>
        <w:rPr>
          <w:rFonts w:hint="eastAsia"/>
          <w:sz w:val="24"/>
          <w:szCs w:val="24"/>
        </w:rPr>
      </w:pPr>
      <w:r>
        <w:rPr>
          <w:rFonts w:hint="eastAsia"/>
          <w:sz w:val="24"/>
          <w:szCs w:val="24"/>
        </w:rPr>
        <w:t>招标监督管理机构：</w:t>
      </w:r>
      <w:r>
        <w:rPr>
          <w:rFonts w:hint="eastAsia" w:eastAsia="宋体"/>
          <w:sz w:val="24"/>
          <w:szCs w:val="24"/>
          <w:lang w:eastAsia="zh-CN"/>
        </w:rPr>
        <w:t>长丰供水集团监察科</w:t>
      </w:r>
      <w:r>
        <w:rPr>
          <w:rFonts w:hint="eastAsia"/>
          <w:sz w:val="24"/>
          <w:szCs w:val="24"/>
        </w:rPr>
        <w:t xml:space="preserve"> </w:t>
      </w:r>
    </w:p>
    <w:p>
      <w:pPr>
        <w:spacing w:line="440" w:lineRule="exact"/>
        <w:ind w:firstLine="435"/>
        <w:rPr>
          <w:rFonts w:hint="eastAsia"/>
          <w:sz w:val="24"/>
          <w:szCs w:val="24"/>
        </w:rPr>
      </w:pPr>
      <w:r>
        <w:rPr>
          <w:rFonts w:hint="eastAsia"/>
          <w:sz w:val="24"/>
          <w:szCs w:val="24"/>
        </w:rPr>
        <w:t xml:space="preserve">电    话： </w:t>
      </w:r>
      <w:r>
        <w:rPr>
          <w:sz w:val="24"/>
          <w:szCs w:val="24"/>
        </w:rPr>
        <w:t>0551-66671460</w:t>
      </w:r>
      <w:r>
        <w:rPr>
          <w:rFonts w:hint="eastAsia"/>
          <w:sz w:val="24"/>
          <w:szCs w:val="24"/>
        </w:rPr>
        <w:t xml:space="preserve"> </w:t>
      </w:r>
    </w:p>
    <w:p>
      <w:pPr>
        <w:spacing w:line="440" w:lineRule="exact"/>
        <w:ind w:firstLine="435"/>
        <w:rPr>
          <w:sz w:val="24"/>
          <w:szCs w:val="24"/>
        </w:rPr>
      </w:pPr>
      <w:r>
        <w:rPr>
          <w:rFonts w:hint="eastAsia"/>
          <w:sz w:val="24"/>
          <w:szCs w:val="24"/>
        </w:rPr>
        <w:t xml:space="preserve">地    址：长丰县水湖镇        </w:t>
      </w:r>
    </w:p>
    <w:p>
      <w:pPr>
        <w:spacing w:line="440" w:lineRule="exact"/>
        <w:ind w:firstLine="435"/>
        <w:rPr>
          <w:rFonts w:hint="eastAsia" w:eastAsia="宋体"/>
          <w:sz w:val="24"/>
          <w:szCs w:val="24"/>
          <w:lang w:val="en-US" w:eastAsia="zh-CN"/>
        </w:rPr>
      </w:pPr>
      <w:r>
        <w:rPr>
          <w:rFonts w:hint="eastAsia"/>
          <w:sz w:val="24"/>
          <w:szCs w:val="24"/>
          <w:lang w:val="en-US" w:eastAsia="zh-CN"/>
        </w:rPr>
        <w:t>8.3</w:t>
      </w:r>
      <w:r>
        <w:t>有任何疑问或问题，请在工作时间（周一至周五，上午</w:t>
      </w:r>
      <w:r>
        <w:rPr>
          <w:rFonts w:hint="eastAsia" w:eastAsia="宋体"/>
          <w:lang w:val="en-US" w:eastAsia="zh-CN"/>
        </w:rPr>
        <w:t>8</w:t>
      </w:r>
      <w:r>
        <w:t>:00-1</w:t>
      </w:r>
      <w:r>
        <w:rPr>
          <w:rFonts w:hint="eastAsia" w:eastAsia="宋体"/>
          <w:lang w:val="en-US" w:eastAsia="zh-CN"/>
        </w:rPr>
        <w:t>1</w:t>
      </w:r>
      <w:r>
        <w:t>:</w:t>
      </w:r>
      <w:r>
        <w:rPr>
          <w:rFonts w:hint="eastAsia" w:eastAsia="宋体"/>
          <w:lang w:val="en-US" w:eastAsia="zh-CN"/>
        </w:rPr>
        <w:t>4</w:t>
      </w:r>
      <w:r>
        <w:t>0，下午1</w:t>
      </w:r>
      <w:r>
        <w:rPr>
          <w:rFonts w:hint="eastAsia" w:eastAsia="宋体"/>
          <w:lang w:val="en-US" w:eastAsia="zh-CN"/>
        </w:rPr>
        <w:t>4</w:t>
      </w:r>
      <w:r>
        <w:t>:30-17:30，节假日休息）联系</w:t>
      </w:r>
      <w:r>
        <w:rPr>
          <w:rFonts w:hint="eastAsia" w:eastAsia="宋体"/>
          <w:lang w:eastAsia="zh-CN"/>
        </w:rPr>
        <w:t>，联系电话</w:t>
      </w:r>
      <w:r>
        <w:rPr>
          <w:rFonts w:hint="eastAsia"/>
          <w:sz w:val="24"/>
          <w:szCs w:val="24"/>
        </w:rPr>
        <w:t xml:space="preserve"> </w:t>
      </w:r>
      <w:r>
        <w:rPr>
          <w:sz w:val="24"/>
          <w:szCs w:val="24"/>
        </w:rPr>
        <w:t>0551-66671460</w:t>
      </w:r>
      <w:r>
        <w:rPr>
          <w:rFonts w:hint="eastAsia" w:eastAsia="宋体"/>
          <w:sz w:val="24"/>
          <w:szCs w:val="24"/>
          <w:lang w:eastAsia="zh-CN"/>
        </w:rPr>
        <w:t>。</w:t>
      </w:r>
      <w:r>
        <w:rPr>
          <w:rFonts w:hint="eastAsia"/>
          <w:sz w:val="24"/>
          <w:szCs w:val="24"/>
        </w:rPr>
        <w:t xml:space="preserve">          </w:t>
      </w:r>
    </w:p>
    <w:bookmarkEnd w:id="3"/>
    <w:bookmarkEnd w:id="4"/>
    <w:bookmarkEnd w:id="5"/>
    <w:p>
      <w:pPr>
        <w:spacing w:line="400" w:lineRule="exact"/>
        <w:jc w:val="center"/>
        <w:rPr>
          <w:rFonts w:ascii="宋体" w:hAnsi="宋体"/>
          <w:color w:val="000000"/>
        </w:rPr>
      </w:pPr>
      <w:r>
        <w:rPr>
          <w:rFonts w:ascii="宋体" w:hAnsi="宋体"/>
          <w:color w:val="000000"/>
        </w:rPr>
        <w:br w:type="page"/>
      </w:r>
      <w:bookmarkStart w:id="6" w:name="_Toc72221866"/>
      <w:r>
        <w:rPr>
          <w:rFonts w:hint="eastAsia" w:ascii="宋体" w:hAnsi="宋体"/>
          <w:color w:val="000000"/>
          <w:sz w:val="32"/>
          <w:szCs w:val="32"/>
        </w:rPr>
        <w:t>第二章  投标人须知</w:t>
      </w:r>
      <w:bookmarkEnd w:id="6"/>
    </w:p>
    <w:p>
      <w:pPr>
        <w:pStyle w:val="4"/>
        <w:spacing w:before="0" w:after="0" w:line="360" w:lineRule="auto"/>
        <w:jc w:val="center"/>
        <w:rPr>
          <w:rFonts w:ascii="宋体" w:hAnsi="宋体" w:eastAsia="宋体"/>
          <w:b w:val="0"/>
          <w:color w:val="000000"/>
        </w:rPr>
      </w:pPr>
      <w:bookmarkStart w:id="7" w:name="_Toc72221867"/>
      <w:r>
        <w:rPr>
          <w:rFonts w:hint="eastAsia" w:ascii="宋体" w:hAnsi="宋体" w:eastAsia="宋体"/>
          <w:b w:val="0"/>
          <w:color w:val="000000"/>
        </w:rPr>
        <w:t>投标人须知前附表</w:t>
      </w:r>
      <w:bookmarkEnd w:id="7"/>
    </w:p>
    <w:tbl>
      <w:tblPr>
        <w:tblStyle w:val="15"/>
        <w:tblW w:w="9464" w:type="dxa"/>
        <w:tblInd w:w="0" w:type="dxa"/>
        <w:tblLayout w:type="fixed"/>
        <w:tblCellMar>
          <w:top w:w="0" w:type="dxa"/>
          <w:left w:w="108" w:type="dxa"/>
          <w:bottom w:w="0" w:type="dxa"/>
          <w:right w:w="108" w:type="dxa"/>
        </w:tblCellMar>
      </w:tblPr>
      <w:tblGrid>
        <w:gridCol w:w="1165"/>
        <w:gridCol w:w="2629"/>
        <w:gridCol w:w="5670"/>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rPr>
            </w:pPr>
            <w:r>
              <w:rPr>
                <w:rFonts w:hint="eastAsia" w:ascii="宋体" w:hAnsi="宋体"/>
                <w:b/>
                <w:color w:val="000000"/>
              </w:rPr>
              <w:t>条款号</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rPr>
            </w:pPr>
            <w:r>
              <w:rPr>
                <w:rFonts w:hint="eastAsia" w:ascii="宋体" w:hAnsi="宋体"/>
                <w:b/>
                <w:color w:val="000000"/>
              </w:rPr>
              <w:t>条款名称</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b/>
                <w:color w:val="000000"/>
              </w:rPr>
            </w:pPr>
            <w:r>
              <w:rPr>
                <w:rFonts w:hint="eastAsia" w:ascii="宋体" w:hAnsi="宋体"/>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招标人</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招标代理机构</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招标项目名称</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1.1.5</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项目</w:t>
            </w:r>
            <w:r>
              <w:rPr>
                <w:rFonts w:hint="eastAsia" w:ascii="宋体" w:hAnsi="宋体" w:eastAsia="宋体"/>
                <w:color w:val="000000"/>
                <w:lang w:eastAsia="zh-CN"/>
              </w:rPr>
              <w:t>服务</w:t>
            </w:r>
            <w:r>
              <w:rPr>
                <w:rFonts w:hint="eastAsia" w:ascii="宋体" w:hAnsi="宋体"/>
                <w:color w:val="000000"/>
              </w:rPr>
              <w:t>地点</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1.1.6</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项目</w:t>
            </w:r>
            <w:r>
              <w:rPr>
                <w:rFonts w:hint="eastAsia" w:ascii="宋体" w:hAnsi="宋体" w:eastAsia="宋体"/>
                <w:color w:val="000000"/>
                <w:lang w:eastAsia="zh-CN"/>
              </w:rPr>
              <w:t>服务</w:t>
            </w:r>
            <w:r>
              <w:rPr>
                <w:rFonts w:hint="eastAsia" w:ascii="宋体" w:hAnsi="宋体"/>
                <w:color w:val="000000"/>
              </w:rPr>
              <w:t>规模</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1.1.7</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项目投资估算</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1.2.1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资金来源</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楷体" w:hAnsi="楷体" w:eastAsia="楷体"/>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1.2.2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出资比例</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Times New Roman" w:hAnsi="Times New Roman"/>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1.2.3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资金落实情况</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olor w:val="000000"/>
              </w:rPr>
            </w:pPr>
            <w:r>
              <w:rPr>
                <w:rFonts w:hint="eastAsia" w:ascii="Times New Roman" w:hAnsi="Times New Roman"/>
                <w:color w:val="000000"/>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1.3.1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color w:val="000000"/>
              </w:rPr>
            </w:pPr>
            <w:r>
              <w:rPr>
                <w:rFonts w:hint="eastAsia" w:ascii="宋体" w:hAnsi="宋体"/>
                <w:color w:val="000000"/>
              </w:rPr>
              <w:t>招标范围</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Times New Roman" w:hAnsi="Times New Roman"/>
                <w:color w:val="000000"/>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1.3.2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服务期限</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楷体" w:hAnsi="楷体"/>
                <w:b/>
                <w:color w:val="000000"/>
                <w:sz w:val="32"/>
              </w:rPr>
            </w:pP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1.3.3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质量要求</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olor w:val="000000"/>
              </w:rPr>
            </w:pPr>
            <w:r>
              <w:rPr>
                <w:rFonts w:hint="eastAsia" w:ascii="宋体" w:hAnsi="宋体"/>
                <w:color w:val="000000"/>
              </w:rPr>
              <w:t>合格</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1.4.1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rPr>
            </w:pPr>
            <w:r>
              <w:rPr>
                <w:rFonts w:hint="eastAsia" w:ascii="宋体" w:hAnsi="宋体"/>
                <w:color w:val="000000"/>
              </w:rPr>
              <w:t>投标人资质条件、能力和信誉</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napToGrid w:val="0"/>
              <w:rPr>
                <w:rFonts w:hint="eastAsia" w:ascii="Times New Roman" w:hAnsi="Times New Roman"/>
                <w:color w:val="000000"/>
              </w:rPr>
            </w:pPr>
            <w:r>
              <w:rPr>
                <w:rFonts w:ascii="Times New Roman" w:hAnsi="Times New Roman"/>
                <w:color w:val="000000"/>
                <w:szCs w:val="24"/>
              </w:rPr>
              <w:t>资质条件：</w:t>
            </w:r>
            <w:r>
              <w:rPr>
                <w:rFonts w:hint="eastAsia" w:ascii="Times New Roman" w:hAnsi="Times New Roman"/>
                <w:color w:val="000000"/>
              </w:rPr>
              <w:t>见招标公告</w:t>
            </w:r>
          </w:p>
          <w:p>
            <w:pPr>
              <w:numPr>
                <w:ilvl w:val="0"/>
                <w:numId w:val="0"/>
              </w:numPr>
              <w:snapToGrid w:val="0"/>
              <w:ind w:left="172" w:leftChars="0" w:right="-15" w:rightChars="0"/>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2）财务要求：</w:t>
            </w:r>
            <w:r>
              <w:rPr>
                <w:rFonts w:hint="eastAsia" w:ascii="Times New Roman" w:hAnsi="Times New Roman"/>
                <w:color w:val="000000"/>
              </w:rPr>
              <w:t>见招标公告</w:t>
            </w:r>
          </w:p>
          <w:p>
            <w:pPr>
              <w:snapToGrid w:val="0"/>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3）业绩要求：</w:t>
            </w:r>
            <w:r>
              <w:rPr>
                <w:rFonts w:hint="eastAsia" w:ascii="Times New Roman" w:hAnsi="Times New Roman"/>
                <w:color w:val="000000"/>
              </w:rPr>
              <w:t>见招标公告</w:t>
            </w:r>
          </w:p>
          <w:p>
            <w:pPr>
              <w:snapToGrid w:val="0"/>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4）信誉要求：</w:t>
            </w:r>
            <w:r>
              <w:rPr>
                <w:rFonts w:hint="eastAsia" w:ascii="Times New Roman" w:hAnsi="Times New Roman"/>
                <w:color w:val="000000"/>
              </w:rPr>
              <w:t>见招标公告</w:t>
            </w:r>
          </w:p>
          <w:p>
            <w:pPr>
              <w:snapToGrid w:val="0"/>
              <w:rPr>
                <w:rFonts w:ascii="宋体" w:hAnsi="宋体"/>
              </w:rPr>
            </w:pPr>
            <w:r>
              <w:rPr>
                <w:rFonts w:hint="eastAsia" w:ascii="Times New Roman" w:hAnsi="Times New Roman"/>
                <w:color w:val="000000"/>
                <w:szCs w:val="24"/>
              </w:rPr>
              <w:t>（</w:t>
            </w:r>
            <w:r>
              <w:rPr>
                <w:rFonts w:ascii="Times New Roman" w:hAnsi="Times New Roman"/>
                <w:color w:val="000000"/>
                <w:szCs w:val="24"/>
              </w:rPr>
              <w:t>5）其他要求</w:t>
            </w:r>
            <w:r>
              <w:rPr>
                <w:rFonts w:hint="eastAsia" w:ascii="Times New Roman" w:hAnsi="Times New Roman"/>
                <w:color w:val="000000"/>
              </w:rPr>
              <w:t>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w:t>
            </w:r>
            <w:r>
              <w:rPr>
                <w:rFonts w:ascii="宋体" w:hAnsi="宋体"/>
              </w:rPr>
              <w:t>4.2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rPr>
              <w:t>是否接受联合体投标</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ascii="宋体" w:hAnsi="宋体"/>
                <w:color w:val="000000"/>
                <w:szCs w:val="21"/>
              </w:rPr>
            </w:pPr>
            <w:r>
              <w:rPr>
                <w:rFonts w:hint="eastAsia" w:ascii="MS Mincho" w:hAnsi="MS Mincho" w:eastAsia="MS Mincho" w:cs="MS Mincho"/>
                <w:szCs w:val="21"/>
              </w:rPr>
              <w:t>☑</w:t>
            </w:r>
            <w:r>
              <w:rPr>
                <w:rFonts w:hint="eastAsia" w:ascii="宋体" w:hAnsi="宋体"/>
                <w:color w:val="000000"/>
                <w:szCs w:val="21"/>
              </w:rPr>
              <w:t>不</w:t>
            </w:r>
            <w:r>
              <w:rPr>
                <w:rFonts w:hint="eastAsia" w:ascii="宋体" w:hAnsi="宋体"/>
                <w:szCs w:val="21"/>
              </w:rPr>
              <w:t>接受</w:t>
            </w:r>
          </w:p>
          <w:p>
            <w:pPr>
              <w:spacing w:line="440" w:lineRule="exact"/>
              <w:rPr>
                <w:rFonts w:ascii="宋体" w:hAnsi="宋体"/>
                <w:color w:val="000000"/>
                <w:sz w:val="32"/>
              </w:rPr>
            </w:pPr>
            <w:r>
              <w:rPr>
                <w:rFonts w:hint="eastAsia" w:ascii="宋体" w:hAnsi="宋体"/>
                <w:szCs w:val="21"/>
              </w:rPr>
              <w:t>□接受</w:t>
            </w:r>
            <w:r>
              <w:rPr>
                <w:rFonts w:hint="eastAsia" w:ascii="宋体" w:hAnsi="宋体"/>
              </w:rPr>
              <w:t>，应满足下列要求：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1.4.3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olor w:val="F79646"/>
              </w:rPr>
            </w:pPr>
            <w:r>
              <w:rPr>
                <w:rFonts w:hint="eastAsia" w:ascii="Times New Roman" w:hAnsi="Times New Roman"/>
                <w:color w:val="000000"/>
              </w:rPr>
              <w:t>投标人不得存在的其他关联情形</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 w:val="32"/>
              </w:rPr>
            </w:pPr>
            <w:r>
              <w:rPr>
                <w:rFonts w:ascii="宋体" w:hAnsi="宋体"/>
                <w:color w:val="000000"/>
                <w:szCs w:val="21"/>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1.4.4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color w:val="000000"/>
              </w:rPr>
            </w:pPr>
            <w:r>
              <w:rPr>
                <w:rFonts w:hint="eastAsia" w:ascii="Times New Roman" w:hAnsi="Times New Roman"/>
                <w:color w:val="000000"/>
              </w:rPr>
              <w:t>投标人不得存在的其他不良状况或不良信用记录</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szCs w:val="21"/>
              </w:rPr>
            </w:pPr>
            <w:r>
              <w:rPr>
                <w:rFonts w:hint="eastAsia" w:ascii="Times New Roman" w:hAnsi="Times New Roma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w:t>
            </w:r>
            <w:r>
              <w:rPr>
                <w:rFonts w:ascii="宋体" w:hAnsi="宋体"/>
              </w:rPr>
              <w:t>9</w:t>
            </w:r>
            <w:r>
              <w:rPr>
                <w:rFonts w:ascii="宋体" w:hAnsi="宋体"/>
                <w:color w:val="000000"/>
              </w:rPr>
              <w:t>.1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color w:val="000000"/>
              </w:rPr>
            </w:pPr>
            <w:r>
              <w:rPr>
                <w:rFonts w:hint="eastAsia" w:ascii="Times New Roman" w:hAnsi="Times New Roman"/>
                <w:color w:val="000000"/>
              </w:rPr>
              <w:t>踏勘现场</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olor w:val="FF0000"/>
              </w:rPr>
            </w:pPr>
            <w:r>
              <w:rPr>
                <w:rFonts w:hint="eastAsia" w:ascii="MS Mincho" w:hAnsi="MS Mincho" w:eastAsia="MS Mincho" w:cs="MS Mincho"/>
                <w:szCs w:val="21"/>
              </w:rPr>
              <w:t>☑</w:t>
            </w:r>
            <w:r>
              <w:rPr>
                <w:rFonts w:hint="eastAsia"/>
                <w:color w:val="000000"/>
              </w:rPr>
              <w:t>不组织</w:t>
            </w:r>
            <w:r>
              <w:rPr>
                <w:rFonts w:hint="eastAsia" w:ascii="Times New Roman" w:hAnsi="Times New Roman"/>
                <w:color w:val="000000"/>
              </w:rPr>
              <w:t>，投标人自行踏勘。</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w:t>
            </w:r>
            <w:r>
              <w:rPr>
                <w:rFonts w:ascii="宋体" w:hAnsi="宋体"/>
              </w:rPr>
              <w:t>10</w:t>
            </w:r>
            <w:r>
              <w:rPr>
                <w:rFonts w:ascii="宋体" w:hAnsi="宋体"/>
                <w:color w:val="000000"/>
              </w:rPr>
              <w:t>.1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color w:val="000000"/>
              </w:rPr>
            </w:pPr>
            <w:r>
              <w:rPr>
                <w:rFonts w:hint="eastAsia" w:ascii="Times New Roman" w:hAnsi="Times New Roman"/>
                <w:color w:val="000000"/>
              </w:rPr>
              <w:t>投标预备会</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color w:val="000000"/>
              </w:rPr>
            </w:pPr>
            <w:r>
              <w:rPr>
                <w:rFonts w:hint="eastAsia" w:ascii="MS Mincho" w:hAnsi="MS Mincho" w:eastAsia="MS Mincho" w:cs="MS Mincho"/>
                <w:szCs w:val="21"/>
              </w:rPr>
              <w:t>☑</w:t>
            </w:r>
            <w:r>
              <w:rPr>
                <w:rFonts w:hint="eastAsia"/>
                <w:color w:val="000000"/>
              </w:rPr>
              <w:t>不召开</w:t>
            </w:r>
          </w:p>
        </w:tc>
      </w:tr>
      <w:tr>
        <w:tblPrEx>
          <w:tblCellMar>
            <w:top w:w="0" w:type="dxa"/>
            <w:left w:w="108" w:type="dxa"/>
            <w:bottom w:w="0" w:type="dxa"/>
            <w:right w:w="108" w:type="dxa"/>
          </w:tblCellMar>
        </w:tblPrEx>
        <w:trPr>
          <w:trHeight w:val="397" w:hRule="atLeast"/>
        </w:trPr>
        <w:tc>
          <w:tcPr>
            <w:tcW w:w="116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1.10.2</w:t>
            </w:r>
          </w:p>
        </w:tc>
        <w:tc>
          <w:tcPr>
            <w:tcW w:w="262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ascii="Times New Roman" w:hAnsi="Times New Roman"/>
                <w:color w:val="000000"/>
              </w:rPr>
            </w:pPr>
            <w:r>
              <w:rPr>
                <w:rFonts w:hint="eastAsia" w:ascii="Times New Roman" w:hAnsi="Times New Roman"/>
                <w:color w:val="000000"/>
              </w:rPr>
              <w:t>投标人在投标预备会前提出问题</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color w:val="000000"/>
              </w:rPr>
            </w:pPr>
            <w:r>
              <w:rPr>
                <w:rFonts w:hint="eastAsia"/>
                <w:color w:val="000000"/>
              </w:rPr>
              <w:t>时间：/</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p>
        </w:tc>
        <w:tc>
          <w:tcPr>
            <w:tcW w:w="2629"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000000"/>
              </w:rPr>
            </w:pPr>
            <w:r>
              <w:rPr>
                <w:rFonts w:hint="eastAsia"/>
                <w:color w:val="000000"/>
              </w:rPr>
              <w:t>形式：/</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ascii="宋体" w:hAnsi="宋体"/>
                <w:color w:val="000000"/>
              </w:rPr>
            </w:pPr>
            <w:r>
              <w:rPr>
                <w:rFonts w:ascii="宋体" w:hAnsi="宋体"/>
                <w:color w:val="000000"/>
              </w:rPr>
              <w:t>1.11.1</w:t>
            </w:r>
          </w:p>
        </w:tc>
        <w:tc>
          <w:tcPr>
            <w:tcW w:w="2629" w:type="dxa"/>
            <w:tcBorders>
              <w:left w:val="single" w:color="auto" w:sz="4" w:space="0"/>
              <w:bottom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ascii="宋体" w:hAnsi="宋体"/>
                <w:color w:val="000000"/>
              </w:rPr>
            </w:pPr>
            <w:r>
              <w:rPr>
                <w:rFonts w:hint="eastAsia" w:ascii="宋体" w:hAnsi="宋体"/>
                <w:color w:val="000000"/>
              </w:rPr>
              <w:t>分包</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6"/>
              <w:topLinePunct/>
              <w:spacing w:line="400" w:lineRule="exact"/>
              <w:rPr>
                <w:rFonts w:hAnsi="宋体"/>
                <w:b/>
                <w:bCs/>
                <w:color w:val="000000"/>
                <w:sz w:val="21"/>
                <w:szCs w:val="21"/>
              </w:rPr>
            </w:pPr>
            <w:r>
              <w:rPr>
                <w:rFonts w:hint="eastAsia" w:ascii="MS Mincho" w:hAnsi="MS Mincho" w:eastAsia="MS Mincho" w:cs="MS Mincho"/>
                <w:szCs w:val="21"/>
              </w:rPr>
              <w:t>☑</w:t>
            </w:r>
            <w:r>
              <w:rPr>
                <w:rFonts w:hint="eastAsia" w:hAnsi="宋体"/>
                <w:b/>
                <w:bCs/>
                <w:color w:val="000000"/>
                <w:sz w:val="21"/>
                <w:szCs w:val="21"/>
              </w:rPr>
              <w:t>不允许</w:t>
            </w:r>
          </w:p>
          <w:p>
            <w:pPr>
              <w:pStyle w:val="6"/>
              <w:topLinePunct/>
              <w:spacing w:line="400" w:lineRule="exact"/>
              <w:rPr>
                <w:rFonts w:hint="eastAsia" w:hAnsi="宋体"/>
                <w:color w:val="000000"/>
                <w:sz w:val="21"/>
                <w:szCs w:val="21"/>
              </w:rPr>
            </w:pPr>
            <w:r>
              <w:rPr>
                <w:rFonts w:hint="eastAsia" w:ascii="MS Mincho" w:hAnsi="MS Mincho" w:eastAsia="宋体" w:cs="MS Mincho"/>
                <w:szCs w:val="21"/>
                <w:lang w:eastAsia="zh-CN"/>
              </w:rPr>
              <w:t>□</w:t>
            </w:r>
            <w:r>
              <w:rPr>
                <w:rFonts w:hint="eastAsia" w:hAnsi="宋体"/>
                <w:color w:val="000000"/>
                <w:sz w:val="21"/>
                <w:szCs w:val="21"/>
              </w:rPr>
              <w:t>允许，分包内容要求：/</w:t>
            </w:r>
          </w:p>
          <w:p>
            <w:pPr>
              <w:pStyle w:val="6"/>
              <w:topLinePunct/>
              <w:spacing w:line="400" w:lineRule="exact"/>
              <w:ind w:firstLine="840" w:firstLineChars="400"/>
              <w:rPr>
                <w:rFonts w:hAnsi="宋体"/>
                <w:color w:val="000000"/>
                <w:szCs w:val="21"/>
              </w:rPr>
            </w:pPr>
            <w:r>
              <w:rPr>
                <w:rFonts w:hint="eastAsia" w:hAnsi="宋体"/>
                <w:color w:val="000000"/>
                <w:sz w:val="21"/>
                <w:szCs w:val="21"/>
              </w:rPr>
              <w:t>分包金额要求：/</w:t>
            </w:r>
          </w:p>
          <w:p>
            <w:pPr>
              <w:pStyle w:val="6"/>
              <w:topLinePunct/>
              <w:spacing w:line="400" w:lineRule="exact"/>
              <w:ind w:firstLine="840" w:firstLineChars="400"/>
              <w:rPr>
                <w:rFonts w:hAnsi="宋体"/>
                <w:color w:val="000000"/>
                <w:szCs w:val="21"/>
              </w:rPr>
            </w:pPr>
            <w:r>
              <w:rPr>
                <w:rFonts w:hint="eastAsia" w:hAnsi="宋体"/>
                <w:color w:val="000000"/>
                <w:sz w:val="21"/>
                <w:szCs w:val="21"/>
              </w:rPr>
              <w:t>接收分包的第三人资质要求：/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2.1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构成招标文件的其他资料</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440" w:lineRule="exact"/>
              <w:outlineLvl w:val="0"/>
              <w:rPr>
                <w:rFonts w:ascii="宋体" w:hAnsi="宋体"/>
                <w:color w:val="000000"/>
              </w:rPr>
            </w:pPr>
            <w:r>
              <w:rPr>
                <w:rFonts w:ascii="宋体" w:hAnsi="宋体"/>
                <w:color w:val="000000"/>
              </w:rPr>
              <w:t>/</w:t>
            </w:r>
          </w:p>
        </w:tc>
      </w:tr>
      <w:tr>
        <w:tblPrEx>
          <w:tblCellMar>
            <w:top w:w="0" w:type="dxa"/>
            <w:left w:w="108" w:type="dxa"/>
            <w:bottom w:w="0" w:type="dxa"/>
            <w:right w:w="108" w:type="dxa"/>
          </w:tblCellMar>
        </w:tblPrEx>
        <w:trPr>
          <w:trHeight w:val="628" w:hRule="atLeast"/>
        </w:trPr>
        <w:tc>
          <w:tcPr>
            <w:tcW w:w="1165"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2.2.1</w:t>
            </w:r>
          </w:p>
        </w:tc>
        <w:tc>
          <w:tcPr>
            <w:tcW w:w="2629" w:type="dxa"/>
            <w:vMerge w:val="restart"/>
            <w:tcBorders>
              <w:top w:val="single" w:color="auto" w:sz="4" w:space="0"/>
              <w:left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hint="eastAsia" w:ascii="宋体" w:hAnsi="宋体"/>
                <w:color w:val="000000"/>
              </w:rPr>
            </w:pPr>
            <w:r>
              <w:rPr>
                <w:rFonts w:hint="eastAsia" w:ascii="宋体" w:hAnsi="宋体"/>
                <w:color w:val="000000"/>
              </w:rPr>
              <w:t>投标人要求澄清招标文件</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szCs w:val="21"/>
                <w:lang w:val="en-US" w:eastAsia="zh-CN"/>
              </w:rPr>
            </w:pPr>
            <w:r>
              <w:rPr>
                <w:rFonts w:hint="eastAsia" w:ascii="宋体" w:hAnsi="宋体"/>
                <w:szCs w:val="21"/>
              </w:rPr>
              <w:t>时间：</w:t>
            </w:r>
            <w:r>
              <w:rPr>
                <w:rFonts w:hint="eastAsia" w:ascii="宋体" w:hAnsi="宋体" w:eastAsia="宋体"/>
                <w:szCs w:val="21"/>
                <w:lang w:val="en-US"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p>
        </w:tc>
        <w:tc>
          <w:tcPr>
            <w:tcW w:w="2629" w:type="dxa"/>
            <w:vMerge w:val="continue"/>
            <w:tcBorders>
              <w:left w:val="single" w:color="auto" w:sz="4" w:space="0"/>
              <w:bottom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ascii="宋体" w:hAnsi="宋体"/>
                <w:color w:val="000000"/>
              </w:rPr>
            </w:pP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color w:val="000000"/>
              </w:rPr>
            </w:pPr>
            <w:r>
              <w:rPr>
                <w:rFonts w:hint="eastAsia" w:ascii="Times New Roman" w:hAnsi="Times New Roman"/>
                <w:color w:val="000000"/>
              </w:rPr>
              <w:t>形式：</w:t>
            </w:r>
            <w:r>
              <w:rPr>
                <w:rFonts w:hint="eastAsia"/>
                <w:bCs/>
                <w:snapToGrid w:val="0"/>
                <w:color w:val="000000"/>
                <w:kern w:val="0"/>
                <w:szCs w:val="21"/>
              </w:rPr>
              <w:t>投标人有疑问时宜先联系本项目经办人员进行咨询，咨询后确须提交相关疑问的，相关疑问应通过</w:t>
            </w:r>
            <w:r>
              <w:rPr>
                <w:rFonts w:hint="eastAsia" w:eastAsia="宋体"/>
                <w:bCs/>
                <w:snapToGrid w:val="0"/>
                <w:color w:val="000000"/>
                <w:kern w:val="0"/>
                <w:szCs w:val="21"/>
                <w:lang w:eastAsia="zh-CN"/>
              </w:rPr>
              <w:t>电话、传真、递交书面说明等</w:t>
            </w:r>
            <w:r>
              <w:rPr>
                <w:rFonts w:hint="eastAsia"/>
                <w:bCs/>
                <w:snapToGrid w:val="0"/>
                <w:color w:val="000000"/>
                <w:kern w:val="0"/>
                <w:szCs w:val="21"/>
              </w:rPr>
              <w:t>。</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2.2.2</w:t>
            </w:r>
          </w:p>
        </w:tc>
        <w:tc>
          <w:tcPr>
            <w:tcW w:w="2629" w:type="dxa"/>
            <w:tcBorders>
              <w:left w:val="single" w:color="auto" w:sz="4" w:space="0"/>
              <w:bottom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hint="eastAsia" w:ascii="宋体" w:hAnsi="宋体"/>
                <w:color w:val="000000"/>
              </w:rPr>
            </w:pPr>
            <w:r>
              <w:rPr>
                <w:rFonts w:ascii="宋体" w:hAnsi="宋体"/>
                <w:color w:val="000000"/>
              </w:rPr>
              <w:t>招标文件澄清发出的形式</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color w:val="000000"/>
              </w:rPr>
            </w:pPr>
            <w:r>
              <w:rPr>
                <w:rFonts w:hint="eastAsia" w:ascii="Times New Roman" w:hAnsi="Times New Roman"/>
                <w:color w:val="000000"/>
              </w:rPr>
              <w:t>通过</w:t>
            </w:r>
            <w:r>
              <w:rPr>
                <w:rFonts w:hint="eastAsia" w:ascii="Times New Roman" w:hAnsi="Times New Roman" w:eastAsia="宋体"/>
                <w:color w:val="000000"/>
                <w:lang w:eastAsia="zh-CN"/>
              </w:rPr>
              <w:t>长丰供水集团官网</w:t>
            </w:r>
            <w:r>
              <w:rPr>
                <w:rFonts w:ascii="Times New Roman" w:hAnsi="Times New Roman"/>
                <w:color w:val="000000"/>
              </w:rPr>
              <w:t>发布</w:t>
            </w:r>
          </w:p>
        </w:tc>
      </w:tr>
      <w:tr>
        <w:tblPrEx>
          <w:tblCellMar>
            <w:top w:w="0" w:type="dxa"/>
            <w:left w:w="108" w:type="dxa"/>
            <w:bottom w:w="0" w:type="dxa"/>
            <w:right w:w="108" w:type="dxa"/>
          </w:tblCellMar>
        </w:tblPrEx>
        <w:trPr>
          <w:trHeight w:val="522" w:hRule="atLeast"/>
        </w:trPr>
        <w:tc>
          <w:tcPr>
            <w:tcW w:w="1165"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2.2.3</w:t>
            </w:r>
          </w:p>
        </w:tc>
        <w:tc>
          <w:tcPr>
            <w:tcW w:w="2629" w:type="dxa"/>
            <w:tcBorders>
              <w:top w:val="single" w:color="auto" w:sz="4" w:space="0"/>
              <w:left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hint="eastAsia" w:ascii="宋体" w:hAnsi="宋体"/>
                <w:color w:val="000000"/>
              </w:rPr>
            </w:pPr>
            <w:r>
              <w:rPr>
                <w:rFonts w:hint="eastAsia" w:ascii="宋体" w:hAnsi="宋体"/>
                <w:color w:val="000000"/>
              </w:rPr>
              <w:t>投标人确认收到招标文件澄清</w:t>
            </w:r>
          </w:p>
        </w:tc>
        <w:tc>
          <w:tcPr>
            <w:tcW w:w="5670" w:type="dxa"/>
            <w:tcBorders>
              <w:top w:val="single" w:color="auto" w:sz="4" w:space="0"/>
              <w:left w:val="single" w:color="auto" w:sz="4" w:space="0"/>
              <w:right w:val="single" w:color="auto" w:sz="4" w:space="0"/>
            </w:tcBorders>
            <w:noWrap w:val="0"/>
            <w:vAlign w:val="center"/>
          </w:tcPr>
          <w:p>
            <w:pPr>
              <w:snapToGrid w:val="0"/>
              <w:rPr>
                <w:rFonts w:hint="eastAsia"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2.3.1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adjustRightInd w:val="0"/>
              <w:snapToGrid w:val="0"/>
              <w:ind w:left="130" w:leftChars="50" w:right="120" w:rightChars="50"/>
              <w:jc w:val="center"/>
              <w:rPr>
                <w:snapToGrid w:val="0"/>
                <w:kern w:val="0"/>
                <w:szCs w:val="21"/>
              </w:rPr>
            </w:pPr>
            <w:r>
              <w:rPr>
                <w:snapToGrid w:val="0"/>
                <w:kern w:val="0"/>
                <w:szCs w:val="21"/>
              </w:rPr>
              <w:t>招标文件修改发出的形式</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ind w:right="120" w:rightChars="50"/>
              <w:jc w:val="left"/>
              <w:rPr>
                <w:rFonts w:ascii="Times New Roman" w:hAnsi="Times New Roman"/>
                <w:color w:val="000000"/>
              </w:rPr>
            </w:pPr>
            <w:r>
              <w:rPr>
                <w:rFonts w:hint="eastAsia" w:ascii="Times New Roman" w:hAnsi="Times New Roman"/>
                <w:color w:val="000000"/>
              </w:rPr>
              <w:t>通过</w:t>
            </w:r>
            <w:r>
              <w:rPr>
                <w:rFonts w:hint="eastAsia" w:ascii="Times New Roman" w:hAnsi="Times New Roman" w:eastAsia="宋体"/>
                <w:color w:val="000000"/>
                <w:lang w:eastAsia="zh-CN"/>
              </w:rPr>
              <w:t>长丰供水集团官网</w:t>
            </w:r>
            <w:r>
              <w:rPr>
                <w:rFonts w:ascii="Times New Roman" w:hAnsi="Times New Roman"/>
                <w:color w:val="000000"/>
              </w:rPr>
              <w:t>发布</w:t>
            </w:r>
          </w:p>
        </w:tc>
      </w:tr>
      <w:tr>
        <w:tblPrEx>
          <w:tblCellMar>
            <w:top w:w="0" w:type="dxa"/>
            <w:left w:w="108" w:type="dxa"/>
            <w:bottom w:w="0" w:type="dxa"/>
            <w:right w:w="108" w:type="dxa"/>
          </w:tblCellMar>
        </w:tblPrEx>
        <w:trPr>
          <w:trHeight w:val="1060" w:hRule="atLeast"/>
        </w:trPr>
        <w:tc>
          <w:tcPr>
            <w:tcW w:w="1165" w:type="dxa"/>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2.3.2</w:t>
            </w:r>
          </w:p>
        </w:tc>
        <w:tc>
          <w:tcPr>
            <w:tcW w:w="2629" w:type="dxa"/>
            <w:tcBorders>
              <w:top w:val="single" w:color="auto" w:sz="4" w:space="0"/>
              <w:left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hint="eastAsia" w:ascii="宋体" w:hAnsi="宋体"/>
                <w:color w:val="000000"/>
              </w:rPr>
            </w:pPr>
            <w:r>
              <w:rPr>
                <w:rFonts w:hint="eastAsia" w:ascii="宋体" w:hAnsi="宋体"/>
                <w:color w:val="000000"/>
              </w:rPr>
              <w:t>投标人确认收到招标文件修改</w:t>
            </w:r>
          </w:p>
        </w:tc>
        <w:tc>
          <w:tcPr>
            <w:tcW w:w="5670" w:type="dxa"/>
            <w:tcBorders>
              <w:top w:val="single" w:color="auto" w:sz="4" w:space="0"/>
              <w:left w:val="single" w:color="auto" w:sz="4" w:space="0"/>
              <w:right w:val="single" w:color="auto" w:sz="4" w:space="0"/>
            </w:tcBorders>
            <w:noWrap w:val="0"/>
            <w:vAlign w:val="center"/>
          </w:tcPr>
          <w:p>
            <w:pPr>
              <w:snapToGrid w:val="0"/>
              <w:rPr>
                <w:rFonts w:hint="eastAsia"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3.2.1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hint="eastAsia" w:ascii="宋体" w:hAnsi="宋体"/>
                <w:color w:val="000000"/>
              </w:rPr>
            </w:pPr>
            <w:r>
              <w:rPr>
                <w:rFonts w:hint="eastAsia" w:ascii="宋体" w:hAnsi="宋体"/>
                <w:color w:val="000000"/>
              </w:rPr>
              <w:t>增值税税金的计算方法</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（1）计税方法：</w:t>
            </w:r>
          </w:p>
          <w:p>
            <w:pPr>
              <w:snapToGrid w:val="0"/>
              <w:rPr>
                <w:rFonts w:hint="eastAsia" w:ascii="Times New Roman" w:hAnsi="Times New Roman"/>
                <w:bCs/>
                <w:snapToGrid w:val="0"/>
                <w:color w:val="000000"/>
                <w:kern w:val="0"/>
                <w:szCs w:val="21"/>
              </w:rPr>
            </w:pPr>
            <w:r>
              <w:rPr>
                <w:rFonts w:hint="eastAsia" w:ascii="MS Mincho" w:hAnsi="MS Mincho" w:eastAsia="MS Mincho" w:cs="MS Mincho"/>
                <w:szCs w:val="21"/>
              </w:rPr>
              <w:t>☑</w:t>
            </w:r>
            <w:r>
              <w:rPr>
                <w:rFonts w:hint="eastAsia" w:ascii="Times New Roman" w:hAnsi="Times New Roman"/>
                <w:bCs/>
                <w:snapToGrid w:val="0"/>
                <w:color w:val="000000"/>
                <w:kern w:val="0"/>
                <w:szCs w:val="21"/>
              </w:rPr>
              <w:t>一般计税方法</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 xml:space="preserve">□简易计算方法 </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（2）发票类型：</w:t>
            </w:r>
          </w:p>
          <w:p>
            <w:pPr>
              <w:snapToGrid w:val="0"/>
              <w:rPr>
                <w:rFonts w:hint="eastAsia" w:ascii="Times New Roman" w:hAnsi="Times New Roman"/>
                <w:bCs/>
                <w:snapToGrid w:val="0"/>
                <w:color w:val="000000"/>
                <w:kern w:val="0"/>
                <w:szCs w:val="21"/>
              </w:rPr>
            </w:pPr>
            <w:r>
              <w:rPr>
                <w:rFonts w:hint="eastAsia" w:ascii="MS Mincho" w:hAnsi="MS Mincho" w:eastAsia="MS Mincho" w:cs="MS Mincho"/>
                <w:szCs w:val="21"/>
              </w:rPr>
              <w:t>☑</w:t>
            </w:r>
            <w:r>
              <w:rPr>
                <w:rFonts w:hint="eastAsia" w:ascii="Times New Roman" w:hAnsi="Times New Roman"/>
                <w:bCs/>
                <w:snapToGrid w:val="0"/>
                <w:color w:val="000000"/>
                <w:kern w:val="0"/>
                <w:szCs w:val="21"/>
              </w:rPr>
              <w:t>增值税专用发票</w:t>
            </w:r>
          </w:p>
          <w:p>
            <w:pPr>
              <w:snapToGrid w:val="0"/>
              <w:rPr>
                <w:rFonts w:hint="eastAsia" w:ascii="Times New Roman" w:hAnsi="Times New Roman"/>
                <w:bCs/>
                <w:snapToGrid w:val="0"/>
                <w:color w:val="000000"/>
                <w:kern w:val="0"/>
                <w:szCs w:val="21"/>
              </w:rPr>
            </w:pPr>
            <w:r>
              <w:rPr>
                <w:rFonts w:hint="eastAsia" w:ascii="MS Mincho" w:hAnsi="MS Mincho" w:cs="MS Mincho"/>
                <w:szCs w:val="21"/>
              </w:rPr>
              <w:t>□</w:t>
            </w:r>
            <w:r>
              <w:rPr>
                <w:rFonts w:hint="eastAsia" w:ascii="Times New Roman" w:hAnsi="Times New Roman"/>
                <w:bCs/>
                <w:snapToGrid w:val="0"/>
                <w:color w:val="000000"/>
                <w:kern w:val="0"/>
                <w:szCs w:val="21"/>
              </w:rPr>
              <w:t>增值税普通发票</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（3）增值税税率按照国家有关规定执行。</w:t>
            </w:r>
          </w:p>
          <w:p>
            <w:pPr>
              <w:snapToGrid w:val="0"/>
              <w:ind w:firstLine="33"/>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3.2.3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报价方式</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imes New Roman" w:hAnsi="Times New Roman" w:eastAsia="宋体"/>
                <w:bCs/>
                <w:snapToGrid w:val="0"/>
                <w:color w:val="000000"/>
                <w:kern w:val="0"/>
                <w:szCs w:val="21"/>
                <w:lang w:eastAsia="zh-CN"/>
              </w:rPr>
            </w:pPr>
            <w:r>
              <w:rPr>
                <w:rFonts w:hint="eastAsia" w:ascii="MS Mincho" w:hAnsi="MS Mincho" w:eastAsia="宋体" w:cs="MS Mincho"/>
                <w:szCs w:val="21"/>
                <w:lang w:eastAsia="zh-CN"/>
              </w:rPr>
              <w:t>☑</w:t>
            </w:r>
            <w:r>
              <w:rPr>
                <w:rFonts w:hint="eastAsia" w:ascii="Times New Roman" w:hAnsi="Times New Roman"/>
                <w:bCs/>
                <w:snapToGrid w:val="0"/>
                <w:color w:val="000000"/>
                <w:kern w:val="0"/>
                <w:szCs w:val="21"/>
              </w:rPr>
              <w:t>总价：</w:t>
            </w:r>
            <w:r>
              <w:rPr>
                <w:rFonts w:hint="eastAsia" w:ascii="Times New Roman" w:hAnsi="Times New Roman" w:eastAsia="宋体"/>
                <w:bCs/>
                <w:snapToGrid w:val="0"/>
                <w:color w:val="000000"/>
                <w:kern w:val="0"/>
                <w:szCs w:val="21"/>
                <w:lang w:eastAsia="zh-CN"/>
              </w:rPr>
              <w:t>常年法律咨询服务费投标价格（两年）</w:t>
            </w:r>
          </w:p>
          <w:p>
            <w:pPr>
              <w:spacing w:line="440" w:lineRule="exact"/>
              <w:rPr>
                <w:rFonts w:hint="eastAsia" w:ascii="Times New Roman" w:hAnsi="Times New Roman" w:eastAsia="宋体"/>
                <w:bCs/>
                <w:snapToGrid w:val="0"/>
                <w:color w:val="000000"/>
                <w:kern w:val="0"/>
                <w:szCs w:val="21"/>
                <w:lang w:eastAsia="zh-CN"/>
              </w:rPr>
            </w:pPr>
            <w:r>
              <w:rPr>
                <w:rFonts w:hint="eastAsia" w:ascii="MS Mincho" w:hAnsi="MS Mincho" w:eastAsia="MS Mincho" w:cs="MS Mincho"/>
                <w:szCs w:val="21"/>
              </w:rPr>
              <w:t>☑</w:t>
            </w:r>
            <w:r>
              <w:rPr>
                <w:rFonts w:hint="eastAsia" w:ascii="Times New Roman" w:hAnsi="Times New Roman"/>
                <w:bCs/>
                <w:snapToGrid w:val="0"/>
                <w:color w:val="000000"/>
                <w:kern w:val="0"/>
                <w:szCs w:val="21"/>
              </w:rPr>
              <w:t>费率：</w:t>
            </w:r>
            <w:r>
              <w:rPr>
                <w:rFonts w:hint="eastAsia" w:ascii="Times New Roman" w:hAnsi="Times New Roman" w:eastAsia="宋体"/>
                <w:bCs/>
                <w:snapToGrid w:val="0"/>
                <w:color w:val="000000"/>
                <w:kern w:val="0"/>
                <w:szCs w:val="21"/>
                <w:lang w:val="en-US" w:eastAsia="zh-CN"/>
              </w:rPr>
              <w:t>案件代理（包括案件一般代理和案件风险代理）的折扣率（案件代理计算方法详见招标文件）</w:t>
            </w:r>
          </w:p>
          <w:p>
            <w:pPr>
              <w:spacing w:line="440" w:lineRule="exact"/>
              <w:rPr>
                <w:rFonts w:ascii="楷体" w:hAnsi="楷体" w:eastAsia="楷体"/>
                <w:color w:val="F79646"/>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3.2.4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auto"/>
              </w:rPr>
            </w:pPr>
            <w:r>
              <w:rPr>
                <w:rFonts w:hint="eastAsia" w:ascii="宋体" w:hAnsi="宋体"/>
                <w:color w:val="auto"/>
              </w:rPr>
              <w:t>最高投标限价</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auto"/>
                <w:spacing w:val="-2"/>
                <w:szCs w:val="21"/>
              </w:rPr>
            </w:pPr>
            <w:r>
              <w:rPr>
                <w:rFonts w:hint="eastAsia" w:ascii="Times New Roman" w:hAnsi="Times New Roman" w:eastAsia="宋体"/>
                <w:bCs/>
                <w:snapToGrid w:val="0"/>
                <w:color w:val="auto"/>
                <w:kern w:val="0"/>
                <w:szCs w:val="21"/>
                <w:lang w:eastAsia="zh-CN"/>
              </w:rPr>
              <w:t>□</w:t>
            </w:r>
            <w:r>
              <w:rPr>
                <w:rFonts w:hint="eastAsia" w:ascii="Times New Roman" w:hAnsi="Times New Roman"/>
                <w:bCs/>
                <w:snapToGrid w:val="0"/>
                <w:color w:val="auto"/>
                <w:kern w:val="0"/>
                <w:szCs w:val="21"/>
              </w:rPr>
              <w:t>无</w:t>
            </w:r>
          </w:p>
          <w:p>
            <w:pPr>
              <w:snapToGrid w:val="0"/>
              <w:rPr>
                <w:rFonts w:hint="default" w:ascii="宋体" w:hAnsi="宋体" w:eastAsia="宋体"/>
                <w:color w:val="auto"/>
                <w:spacing w:val="-2"/>
                <w:szCs w:val="21"/>
                <w:lang w:val="en-US" w:eastAsia="zh-CN"/>
              </w:rPr>
            </w:pPr>
            <w:r>
              <w:rPr>
                <w:rFonts w:hint="eastAsia" w:ascii="宋体" w:hAnsi="宋体" w:eastAsia="宋体"/>
                <w:color w:val="auto"/>
                <w:spacing w:val="-2"/>
                <w:szCs w:val="21"/>
                <w:lang w:eastAsia="zh-CN"/>
              </w:rPr>
              <w:t>☑</w:t>
            </w:r>
            <w:r>
              <w:rPr>
                <w:rFonts w:hint="eastAsia" w:ascii="宋体" w:hAnsi="宋体"/>
                <w:color w:val="auto"/>
                <w:spacing w:val="-2"/>
                <w:szCs w:val="21"/>
              </w:rPr>
              <w:t>有，最高投标限价</w:t>
            </w:r>
            <w:r>
              <w:rPr>
                <w:rFonts w:hint="eastAsia" w:ascii="宋体" w:hAnsi="宋体" w:eastAsia="宋体"/>
                <w:color w:val="auto"/>
                <w:spacing w:val="-2"/>
                <w:szCs w:val="21"/>
                <w:lang w:val="en-US" w:eastAsia="zh-CN"/>
              </w:rPr>
              <w:t>,常年</w:t>
            </w:r>
            <w:r>
              <w:rPr>
                <w:rFonts w:hint="eastAsia" w:ascii="宋体" w:hAnsi="宋体"/>
                <w:color w:val="auto"/>
                <w:spacing w:val="-2"/>
                <w:szCs w:val="21"/>
                <w:lang w:val="en-US" w:eastAsia="zh-CN"/>
              </w:rPr>
              <w:t>法律咨询服务费投标价格（两年）不超过12万元</w:t>
            </w:r>
            <w:r>
              <w:rPr>
                <w:rFonts w:hint="eastAsia" w:ascii="宋体" w:hAnsi="宋体" w:eastAsia="宋体"/>
                <w:color w:val="auto"/>
                <w:spacing w:val="-2"/>
                <w:szCs w:val="21"/>
                <w:lang w:val="en-US" w:eastAsia="zh-CN"/>
              </w:rPr>
              <w:t>。</w:t>
            </w:r>
          </w:p>
          <w:p>
            <w:pPr>
              <w:snapToGrid w:val="0"/>
              <w:rPr>
                <w:rFonts w:ascii="楷体" w:hAnsi="楷体" w:eastAsia="楷体"/>
                <w:color w:val="auto"/>
              </w:rPr>
            </w:pPr>
          </w:p>
        </w:tc>
      </w:tr>
      <w:tr>
        <w:tblPrEx>
          <w:tblCellMar>
            <w:top w:w="0" w:type="dxa"/>
            <w:left w:w="108" w:type="dxa"/>
            <w:bottom w:w="0" w:type="dxa"/>
            <w:right w:w="108" w:type="dxa"/>
          </w:tblCellMar>
        </w:tblPrEx>
        <w:trPr>
          <w:trHeight w:val="553"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3.2.5</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投标报价的其他要求</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楷体" w:hAnsi="楷体" w:eastAsia="楷体"/>
                <w:color w:val="000000"/>
              </w:rPr>
            </w:pPr>
            <w:r>
              <w:rPr>
                <w:rFonts w:hint="eastAsia" w:ascii="Times New Roman" w:hAnsi="Times New Roman"/>
                <w:bCs/>
                <w:snapToGrid w:val="0"/>
                <w:color w:val="000000"/>
                <w:kern w:val="0"/>
                <w:szCs w:val="21"/>
              </w:rPr>
              <w:t>详见第五章服务要求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3.3.1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投标有效期</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Times New Roman" w:hAnsi="Times New Roman"/>
                <w:snapToGrid w:val="0"/>
                <w:color w:val="000000"/>
                <w:kern w:val="0"/>
                <w:szCs w:val="21"/>
              </w:rPr>
            </w:pPr>
            <w:bookmarkStart w:id="8" w:name="_Toc1789"/>
            <w:bookmarkStart w:id="9" w:name="_Toc369531512"/>
            <w:bookmarkStart w:id="10" w:name="_Toc361508582"/>
            <w:bookmarkStart w:id="11" w:name="_Toc300834946"/>
            <w:bookmarkStart w:id="12" w:name="_Toc384308207"/>
            <w:bookmarkStart w:id="13" w:name="_Toc352691470"/>
          </w:p>
        </w:tc>
      </w:tr>
      <w:bookmarkEnd w:id="8"/>
      <w:bookmarkEnd w:id="9"/>
      <w:bookmarkEnd w:id="10"/>
      <w:bookmarkEnd w:id="11"/>
      <w:bookmarkEnd w:id="12"/>
      <w:bookmarkEnd w:id="13"/>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3.4.1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color w:val="auto"/>
              </w:rPr>
            </w:pPr>
            <w:r>
              <w:rPr>
                <w:rFonts w:hint="eastAsia"/>
                <w:color w:val="auto"/>
              </w:rPr>
              <w:t>投标保证金</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color w:val="auto"/>
                <w:kern w:val="0"/>
                <w:szCs w:val="21"/>
              </w:rPr>
            </w:pPr>
            <w:r>
              <w:rPr>
                <w:rFonts w:hint="eastAsia" w:ascii="宋体" w:hAnsi="宋体" w:cs="宋体"/>
                <w:color w:val="auto"/>
                <w:kern w:val="0"/>
                <w:szCs w:val="21"/>
              </w:rPr>
              <w:t>是否要求投标人递交投标保证金：</w:t>
            </w:r>
          </w:p>
          <w:p>
            <w:pPr>
              <w:widowControl/>
              <w:snapToGrid w:val="0"/>
              <w:jc w:val="left"/>
              <w:rPr>
                <w:rFonts w:ascii="宋体" w:hAnsi="宋体" w:cs="宋体"/>
                <w:b/>
                <w:bCs/>
                <w:color w:val="auto"/>
                <w:kern w:val="0"/>
                <w:szCs w:val="21"/>
              </w:rPr>
            </w:pPr>
            <w:r>
              <w:rPr>
                <w:rFonts w:ascii="Segoe UI Symbol" w:hAnsi="Segoe UI Symbol" w:cs="Segoe UI Symbol"/>
                <w:b/>
                <w:bCs/>
                <w:color w:val="auto"/>
                <w:kern w:val="0"/>
                <w:szCs w:val="21"/>
              </w:rPr>
              <w:t>☑</w:t>
            </w:r>
            <w:r>
              <w:rPr>
                <w:rFonts w:hint="eastAsia" w:ascii="宋体" w:hAnsi="宋体" w:cs="宋体"/>
                <w:b/>
                <w:bCs/>
                <w:color w:val="auto"/>
                <w:kern w:val="0"/>
                <w:szCs w:val="21"/>
              </w:rPr>
              <w:t>不要求</w:t>
            </w:r>
          </w:p>
          <w:p>
            <w:pPr>
              <w:widowControl/>
              <w:snapToGrid w:val="0"/>
              <w:jc w:val="left"/>
              <w:rPr>
                <w:rFonts w:ascii="宋体" w:hAnsi="宋体" w:cs="宋体"/>
                <w:color w:val="auto"/>
                <w:kern w:val="0"/>
                <w:szCs w:val="21"/>
              </w:rPr>
            </w:pPr>
            <w:r>
              <w:rPr>
                <w:rFonts w:hint="eastAsia" w:ascii="宋体" w:hAnsi="宋体" w:cs="宋体"/>
                <w:color w:val="auto"/>
                <w:kern w:val="0"/>
                <w:szCs w:val="21"/>
              </w:rPr>
              <w:t>□要求</w:t>
            </w:r>
          </w:p>
          <w:p>
            <w:pPr>
              <w:widowControl/>
              <w:snapToGrid w:val="0"/>
              <w:jc w:val="left"/>
              <w:rPr>
                <w:rFonts w:ascii="宋体" w:hAnsi="宋体" w:cs="宋体"/>
                <w:color w:val="auto"/>
                <w:kern w:val="0"/>
                <w:szCs w:val="21"/>
              </w:rPr>
            </w:pPr>
            <w:r>
              <w:rPr>
                <w:rFonts w:hint="eastAsia" w:ascii="宋体" w:hAnsi="宋体" w:cs="宋体"/>
                <w:color w:val="auto"/>
                <w:kern w:val="0"/>
                <w:szCs w:val="21"/>
              </w:rPr>
              <w:t>投标保证金的形式：</w:t>
            </w:r>
          </w:p>
          <w:p>
            <w:pPr>
              <w:widowControl/>
              <w:snapToGrid w:val="0"/>
              <w:jc w:val="left"/>
              <w:rPr>
                <w:rFonts w:ascii="宋体" w:hAnsi="宋体" w:cs="宋体"/>
                <w:color w:val="auto"/>
                <w:kern w:val="0"/>
                <w:szCs w:val="21"/>
              </w:rPr>
            </w:pPr>
            <w:r>
              <w:rPr>
                <w:rFonts w:hint="eastAsia" w:ascii="宋体" w:hAnsi="宋体" w:cs="宋体"/>
                <w:color w:val="auto"/>
                <w:kern w:val="0"/>
                <w:szCs w:val="21"/>
              </w:rPr>
              <w:t>第一类：</w:t>
            </w: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eq \o\ac(□,√)</w:instrText>
            </w:r>
            <w:r>
              <w:rPr>
                <w:rFonts w:ascii="宋体" w:hAnsi="宋体" w:cs="宋体"/>
                <w:color w:val="auto"/>
                <w:kern w:val="0"/>
                <w:szCs w:val="21"/>
              </w:rPr>
              <w:fldChar w:fldCharType="end"/>
            </w:r>
            <w:r>
              <w:rPr>
                <w:rFonts w:hint="eastAsia" w:ascii="宋体" w:hAnsi="宋体" w:cs="宋体"/>
                <w:color w:val="auto"/>
                <w:kern w:val="0"/>
                <w:szCs w:val="21"/>
              </w:rPr>
              <w:t xml:space="preserve">银行转账  </w:t>
            </w: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eq \o\ac(□,√)</w:instrText>
            </w:r>
            <w:r>
              <w:rPr>
                <w:rFonts w:ascii="宋体" w:hAnsi="宋体" w:cs="宋体"/>
                <w:color w:val="auto"/>
                <w:kern w:val="0"/>
                <w:szCs w:val="21"/>
              </w:rPr>
              <w:fldChar w:fldCharType="end"/>
            </w:r>
            <w:r>
              <w:rPr>
                <w:rFonts w:hint="eastAsia" w:ascii="宋体" w:hAnsi="宋体" w:cs="宋体"/>
                <w:color w:val="auto"/>
                <w:kern w:val="0"/>
                <w:szCs w:val="21"/>
              </w:rPr>
              <w:t xml:space="preserve">银行电汇  </w:t>
            </w:r>
          </w:p>
          <w:p>
            <w:pPr>
              <w:widowControl/>
              <w:snapToGrid w:val="0"/>
              <w:jc w:val="left"/>
              <w:rPr>
                <w:rFonts w:ascii="宋体" w:hAnsi="宋体" w:cs="宋体"/>
                <w:color w:val="auto"/>
                <w:kern w:val="0"/>
                <w:szCs w:val="21"/>
              </w:rPr>
            </w:pPr>
            <w:r>
              <w:rPr>
                <w:rFonts w:hint="eastAsia" w:ascii="宋体" w:hAnsi="宋体" w:cs="宋体"/>
                <w:color w:val="auto"/>
                <w:kern w:val="0"/>
                <w:szCs w:val="21"/>
              </w:rPr>
              <w:t>第二类：</w:t>
            </w: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eq \o\ac(□,√)</w:instrText>
            </w:r>
            <w:r>
              <w:rPr>
                <w:rFonts w:ascii="宋体" w:hAnsi="宋体" w:cs="宋体"/>
                <w:color w:val="auto"/>
                <w:kern w:val="0"/>
                <w:szCs w:val="21"/>
              </w:rPr>
              <w:fldChar w:fldCharType="end"/>
            </w:r>
            <w:r>
              <w:rPr>
                <w:rFonts w:hint="eastAsia" w:ascii="宋体" w:hAnsi="宋体" w:cs="宋体"/>
                <w:color w:val="auto"/>
                <w:kern w:val="0"/>
                <w:szCs w:val="21"/>
              </w:rPr>
              <w:t xml:space="preserve">银行保函  </w:t>
            </w: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eq \o\ac(□,√)</w:instrText>
            </w:r>
            <w:r>
              <w:rPr>
                <w:rFonts w:ascii="宋体" w:hAnsi="宋体" w:cs="宋体"/>
                <w:color w:val="auto"/>
                <w:kern w:val="0"/>
                <w:szCs w:val="21"/>
              </w:rPr>
              <w:fldChar w:fldCharType="end"/>
            </w:r>
            <w:r>
              <w:rPr>
                <w:rFonts w:hint="eastAsia" w:ascii="宋体" w:hAnsi="宋体" w:cs="宋体"/>
                <w:color w:val="auto"/>
                <w:kern w:val="0"/>
                <w:szCs w:val="21"/>
              </w:rPr>
              <w:t xml:space="preserve">担保机构担保    </w:t>
            </w: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eq \o\ac(□,√)</w:instrText>
            </w:r>
            <w:r>
              <w:rPr>
                <w:rFonts w:ascii="宋体" w:hAnsi="宋体" w:cs="宋体"/>
                <w:color w:val="auto"/>
                <w:kern w:val="0"/>
                <w:szCs w:val="21"/>
              </w:rPr>
              <w:fldChar w:fldCharType="end"/>
            </w:r>
            <w:r>
              <w:rPr>
                <w:rFonts w:hint="eastAsia" w:ascii="宋体" w:hAnsi="宋体" w:cs="宋体"/>
                <w:color w:val="auto"/>
                <w:kern w:val="0"/>
                <w:szCs w:val="21"/>
              </w:rPr>
              <w:t xml:space="preserve">保证保险 </w:t>
            </w:r>
          </w:p>
          <w:p>
            <w:pPr>
              <w:widowControl/>
              <w:snapToGrid w:val="0"/>
              <w:jc w:val="left"/>
              <w:rPr>
                <w:rFonts w:ascii="宋体" w:hAnsi="宋体" w:cs="宋体"/>
                <w:color w:val="auto"/>
                <w:kern w:val="0"/>
                <w:szCs w:val="21"/>
              </w:rPr>
            </w:pPr>
            <w:r>
              <w:rPr>
                <w:rFonts w:hint="eastAsia" w:ascii="宋体" w:hAnsi="宋体" w:cs="宋体"/>
                <w:color w:val="auto"/>
                <w:kern w:val="0"/>
                <w:szCs w:val="21"/>
              </w:rPr>
              <w:t xml:space="preserve">第三类： </w:t>
            </w: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eq \o\ac(□,√)</w:instrText>
            </w:r>
            <w:r>
              <w:rPr>
                <w:rFonts w:ascii="宋体" w:hAnsi="宋体" w:cs="宋体"/>
                <w:color w:val="auto"/>
                <w:kern w:val="0"/>
                <w:szCs w:val="21"/>
              </w:rPr>
              <w:fldChar w:fldCharType="end"/>
            </w:r>
            <w:r>
              <w:rPr>
                <w:rFonts w:hint="eastAsia" w:ascii="宋体" w:hAnsi="宋体" w:cs="宋体"/>
                <w:color w:val="auto"/>
                <w:kern w:val="0"/>
                <w:szCs w:val="21"/>
              </w:rPr>
              <w:t>保函</w:t>
            </w:r>
          </w:p>
          <w:p>
            <w:pPr>
              <w:widowControl/>
              <w:snapToGrid w:val="0"/>
              <w:jc w:val="left"/>
              <w:rPr>
                <w:rFonts w:ascii="宋体" w:hAnsi="宋体" w:cs="宋体"/>
                <w:color w:val="auto"/>
                <w:kern w:val="0"/>
                <w:szCs w:val="21"/>
              </w:rPr>
            </w:pPr>
            <w:r>
              <w:rPr>
                <w:rFonts w:hint="eastAsia" w:ascii="宋体" w:hAnsi="宋体" w:cs="宋体"/>
                <w:color w:val="auto"/>
                <w:kern w:val="0"/>
                <w:szCs w:val="21"/>
              </w:rPr>
              <w:t>注：为减轻投标人负担，鼓励优先使用保函形式。</w:t>
            </w:r>
          </w:p>
          <w:p>
            <w:pPr>
              <w:widowControl/>
              <w:snapToGrid w:val="0"/>
              <w:jc w:val="left"/>
              <w:rPr>
                <w:rFonts w:ascii="宋体" w:hAnsi="宋体" w:cs="宋体"/>
                <w:b/>
                <w:color w:val="auto"/>
                <w:kern w:val="0"/>
                <w:sz w:val="24"/>
                <w:szCs w:val="24"/>
              </w:rPr>
            </w:pPr>
            <w:r>
              <w:rPr>
                <w:rFonts w:hint="eastAsia" w:ascii="宋体" w:hAnsi="宋体" w:cs="宋体"/>
                <w:b/>
                <w:color w:val="auto"/>
                <w:kern w:val="0"/>
                <w:sz w:val="24"/>
                <w:szCs w:val="24"/>
              </w:rPr>
              <w:t>投标保证金的金额：人民币</w:t>
            </w:r>
            <w:r>
              <w:rPr>
                <w:rFonts w:hint="eastAsia" w:ascii="Times New Roman" w:hAnsi="Times New Roman"/>
                <w:b/>
                <w:color w:val="auto"/>
                <w:sz w:val="24"/>
                <w:szCs w:val="24"/>
                <w:u w:val="single"/>
              </w:rPr>
              <w:t xml:space="preserve"> </w:t>
            </w:r>
            <w:r>
              <w:rPr>
                <w:rFonts w:ascii="Times New Roman" w:hAnsi="Times New Roman"/>
                <w:b/>
                <w:color w:val="auto"/>
                <w:sz w:val="24"/>
                <w:szCs w:val="24"/>
                <w:u w:val="single"/>
              </w:rPr>
              <w:t xml:space="preserve"> </w:t>
            </w:r>
            <w:r>
              <w:rPr>
                <w:rFonts w:hint="eastAsia" w:ascii="Times New Roman" w:hAnsi="Times New Roman"/>
                <w:b/>
                <w:color w:val="auto"/>
                <w:sz w:val="24"/>
                <w:szCs w:val="24"/>
                <w:u w:val="single"/>
              </w:rPr>
              <w:t>零</w:t>
            </w:r>
            <w:r>
              <w:rPr>
                <w:rFonts w:ascii="Times New Roman" w:hAnsi="Times New Roman"/>
                <w:b/>
                <w:color w:val="auto"/>
                <w:sz w:val="24"/>
                <w:szCs w:val="24"/>
                <w:u w:val="single"/>
              </w:rPr>
              <w:t xml:space="preserve">  </w:t>
            </w:r>
            <w:r>
              <w:rPr>
                <w:rFonts w:hint="eastAsia" w:ascii="宋体" w:hAnsi="宋体" w:cs="宋体"/>
                <w:b/>
                <w:color w:val="auto"/>
                <w:kern w:val="0"/>
                <w:sz w:val="24"/>
                <w:szCs w:val="24"/>
              </w:rPr>
              <w:t>元</w:t>
            </w:r>
          </w:p>
          <w:p>
            <w:pPr>
              <w:widowControl/>
              <w:snapToGrid w:val="0"/>
              <w:jc w:val="left"/>
              <w:rPr>
                <w:rFonts w:ascii="宋体" w:hAnsi="宋体" w:cs="宋体"/>
                <w:color w:val="auto"/>
                <w:kern w:val="0"/>
                <w:szCs w:val="21"/>
              </w:rPr>
            </w:pPr>
            <w:r>
              <w:rPr>
                <w:rFonts w:hint="eastAsia" w:ascii="宋体" w:hAnsi="宋体" w:cs="宋体"/>
                <w:color w:val="auto"/>
                <w:kern w:val="0"/>
                <w:szCs w:val="21"/>
              </w:rPr>
              <w:t xml:space="preserve">递交要求： </w:t>
            </w:r>
          </w:p>
          <w:p>
            <w:pPr>
              <w:widowControl/>
              <w:snapToGrid w:val="0"/>
              <w:jc w:val="left"/>
              <w:rPr>
                <w:rFonts w:ascii="宋体" w:hAnsi="宋体" w:cs="宋体"/>
                <w:color w:val="auto"/>
                <w:kern w:val="0"/>
                <w:szCs w:val="21"/>
              </w:rPr>
            </w:pPr>
            <w:r>
              <w:rPr>
                <w:rFonts w:hint="eastAsia" w:ascii="宋体" w:hAnsi="宋体" w:cs="宋体"/>
                <w:color w:val="auto"/>
                <w:kern w:val="0"/>
                <w:szCs w:val="21"/>
              </w:rPr>
              <w:t>（1）如采用第一类形式：</w:t>
            </w:r>
          </w:p>
          <w:p>
            <w:pPr>
              <w:widowControl/>
              <w:snapToGrid w:val="0"/>
              <w:jc w:val="left"/>
              <w:rPr>
                <w:rFonts w:ascii="宋体" w:hAnsi="宋体" w:cs="宋体"/>
                <w:color w:val="auto"/>
                <w:kern w:val="0"/>
                <w:szCs w:val="21"/>
              </w:rPr>
            </w:pPr>
            <w:r>
              <w:rPr>
                <w:rFonts w:hint="eastAsia" w:ascii="宋体" w:hAnsi="宋体" w:cs="宋体"/>
                <w:color w:val="auto"/>
                <w:kern w:val="0"/>
                <w:szCs w:val="21"/>
              </w:rPr>
              <w:t>①投标保证金的到账截止时间：投标截止时间。</w:t>
            </w:r>
          </w:p>
          <w:p>
            <w:pPr>
              <w:widowControl/>
              <w:snapToGrid w:val="0"/>
              <w:jc w:val="left"/>
              <w:rPr>
                <w:rFonts w:ascii="宋体" w:hAnsi="宋体" w:cs="宋体"/>
                <w:color w:val="auto"/>
                <w:kern w:val="0"/>
                <w:szCs w:val="21"/>
              </w:rPr>
            </w:pPr>
            <w:r>
              <w:rPr>
                <w:rFonts w:hint="eastAsia" w:ascii="宋体" w:hAnsi="宋体" w:cs="宋体"/>
                <w:color w:val="auto"/>
                <w:kern w:val="0"/>
                <w:szCs w:val="21"/>
              </w:rPr>
              <w:t>②投标保证金应当从</w:t>
            </w:r>
            <w:r>
              <w:rPr>
                <w:rFonts w:hint="eastAsia" w:ascii="宋体" w:hAnsi="宋体" w:cs="宋体"/>
                <w:b/>
                <w:color w:val="auto"/>
                <w:kern w:val="0"/>
                <w:sz w:val="24"/>
                <w:szCs w:val="24"/>
              </w:rPr>
              <w:t>投标人基本账户</w:t>
            </w:r>
            <w:r>
              <w:rPr>
                <w:rFonts w:hint="eastAsia" w:ascii="宋体" w:hAnsi="宋体" w:cs="宋体"/>
                <w:color w:val="auto"/>
                <w:kern w:val="0"/>
                <w:szCs w:val="21"/>
              </w:rPr>
              <w:t>转出，转出保证金的账户与投标人投标文件提供的基本账户不一致的，视为未按招标文件规定要求递交投标保证金。</w:t>
            </w:r>
          </w:p>
          <w:p>
            <w:pPr>
              <w:widowControl/>
              <w:snapToGrid w:val="0"/>
              <w:jc w:val="left"/>
              <w:rPr>
                <w:rFonts w:ascii="宋体" w:hAnsi="宋体" w:cs="宋体"/>
                <w:color w:val="auto"/>
                <w:kern w:val="0"/>
                <w:szCs w:val="21"/>
              </w:rPr>
            </w:pPr>
            <w:r>
              <w:rPr>
                <w:rFonts w:hint="eastAsia" w:ascii="宋体" w:hAnsi="宋体" w:cs="宋体"/>
                <w:color w:val="auto"/>
                <w:kern w:val="0"/>
                <w:szCs w:val="21"/>
              </w:rPr>
              <w:t>③转入的开户银行及账号见本项目招标公告所示。</w:t>
            </w:r>
          </w:p>
          <w:p>
            <w:pPr>
              <w:widowControl/>
              <w:snapToGrid w:val="0"/>
              <w:jc w:val="left"/>
              <w:rPr>
                <w:rFonts w:ascii="宋体" w:hAnsi="宋体" w:cs="宋体"/>
                <w:color w:val="auto"/>
                <w:kern w:val="0"/>
                <w:szCs w:val="21"/>
              </w:rPr>
            </w:pPr>
            <w:r>
              <w:rPr>
                <w:rFonts w:hint="eastAsia" w:ascii="宋体" w:hAnsi="宋体" w:cs="宋体"/>
                <w:color w:val="auto"/>
                <w:kern w:val="0"/>
                <w:szCs w:val="21"/>
              </w:rPr>
              <w:t>（2）如采用第二类形式：</w:t>
            </w:r>
          </w:p>
          <w:p>
            <w:pPr>
              <w:widowControl/>
              <w:snapToGrid w:val="0"/>
              <w:jc w:val="left"/>
              <w:rPr>
                <w:rFonts w:ascii="宋体" w:hAnsi="宋体" w:cs="宋体"/>
                <w:color w:val="auto"/>
                <w:kern w:val="0"/>
                <w:szCs w:val="21"/>
              </w:rPr>
            </w:pPr>
            <w:r>
              <w:rPr>
                <w:rFonts w:hint="eastAsia" w:ascii="宋体" w:hAnsi="宋体" w:cs="宋体"/>
                <w:color w:val="auto"/>
                <w:kern w:val="0"/>
                <w:sz w:val="24"/>
                <w:szCs w:val="24"/>
              </w:rPr>
              <w:t>①</w:t>
            </w:r>
            <w:r>
              <w:rPr>
                <w:rFonts w:hint="eastAsia" w:ascii="宋体" w:hAnsi="宋体" w:cs="宋体"/>
                <w:b/>
                <w:color w:val="auto"/>
                <w:kern w:val="0"/>
                <w:sz w:val="24"/>
                <w:szCs w:val="24"/>
              </w:rPr>
              <w:t>采用银行保函，应为投标人基本账户开户行出具的见索即付无条件银行保函</w:t>
            </w:r>
            <w:r>
              <w:rPr>
                <w:rFonts w:hint="eastAsia" w:ascii="宋体" w:hAnsi="宋体" w:cs="宋体"/>
                <w:color w:val="auto"/>
                <w:kern w:val="0"/>
                <w:sz w:val="24"/>
                <w:szCs w:val="24"/>
              </w:rPr>
              <w:t>；</w:t>
            </w:r>
            <w:r>
              <w:rPr>
                <w:rFonts w:hint="eastAsia" w:ascii="宋体" w:hAnsi="宋体" w:cs="宋体"/>
                <w:color w:val="auto"/>
                <w:kern w:val="0"/>
                <w:szCs w:val="21"/>
              </w:rPr>
              <w:t>采用担保机构出具的保函（担保机构担保），应为经安徽省地方金融监督管理局审查批准，依法取得融资担保业务经营许可证的融资担保机构出具的无条件保函。</w:t>
            </w:r>
          </w:p>
          <w:p>
            <w:pPr>
              <w:widowControl/>
              <w:snapToGrid w:val="0"/>
              <w:jc w:val="left"/>
              <w:rPr>
                <w:rFonts w:ascii="宋体" w:hAnsi="宋体" w:cs="宋体"/>
                <w:color w:val="auto"/>
                <w:kern w:val="0"/>
                <w:szCs w:val="21"/>
              </w:rPr>
            </w:pPr>
            <w:r>
              <w:rPr>
                <w:rFonts w:hint="eastAsia" w:ascii="宋体" w:hAnsi="宋体" w:cs="宋体"/>
                <w:color w:val="auto"/>
                <w:kern w:val="0"/>
                <w:szCs w:val="21"/>
              </w:rPr>
              <w:t>②</w:t>
            </w:r>
            <w:r>
              <w:rPr>
                <w:rFonts w:hint="eastAsia" w:ascii="宋体" w:hAnsi="宋体" w:cs="宋体"/>
                <w:b/>
                <w:color w:val="auto"/>
                <w:kern w:val="0"/>
                <w:sz w:val="24"/>
                <w:szCs w:val="24"/>
              </w:rPr>
              <w:t>投标人必须提供明确有效的查询途径（二维码；或网址链接及查询方式），否则该银行保函（或担保机构担保或保证保险）无效。</w:t>
            </w:r>
            <w:r>
              <w:rPr>
                <w:rFonts w:hint="eastAsia" w:ascii="宋体" w:hAnsi="宋体" w:cs="宋体"/>
                <w:color w:val="auto"/>
                <w:kern w:val="0"/>
                <w:szCs w:val="21"/>
              </w:rPr>
              <w:t>评标时评标委员会保留现场核查权利。</w:t>
            </w:r>
          </w:p>
          <w:p>
            <w:pPr>
              <w:widowControl/>
              <w:snapToGrid w:val="0"/>
              <w:jc w:val="left"/>
              <w:rPr>
                <w:rFonts w:ascii="宋体" w:hAnsi="宋体" w:cs="宋体"/>
                <w:color w:val="auto"/>
                <w:kern w:val="0"/>
                <w:szCs w:val="21"/>
              </w:rPr>
            </w:pPr>
            <w:r>
              <w:rPr>
                <w:rFonts w:hint="eastAsia" w:ascii="宋体" w:hAnsi="宋体" w:cs="宋体"/>
                <w:color w:val="auto"/>
                <w:kern w:val="0"/>
                <w:szCs w:val="21"/>
              </w:rPr>
              <w:t>③中标候选人须在中标结果公示发布前将其开具至本项目的银行保函（或担保机构担保或保证保险）原件提交招标人（或招标代理机构），且原件须与投标文件中提供的扫描件一致，如存在未按规定提交或提交内容不一致，或发现弄虚作假的，招标人应当报监管部门依法处理。</w:t>
            </w:r>
          </w:p>
          <w:p>
            <w:pPr>
              <w:widowControl/>
              <w:snapToGrid w:val="0"/>
              <w:jc w:val="left"/>
              <w:rPr>
                <w:rFonts w:ascii="宋体" w:hAnsi="宋体" w:cs="宋体"/>
                <w:color w:val="auto"/>
                <w:kern w:val="0"/>
                <w:szCs w:val="21"/>
              </w:rPr>
            </w:pPr>
            <w:r>
              <w:rPr>
                <w:rFonts w:hint="eastAsia" w:ascii="宋体" w:hAnsi="宋体" w:cs="宋体"/>
                <w:color w:val="auto"/>
                <w:kern w:val="0"/>
                <w:szCs w:val="21"/>
              </w:rPr>
              <w:t>（3）如采用第三类形式：</w:t>
            </w:r>
          </w:p>
          <w:p>
            <w:pPr>
              <w:widowControl/>
              <w:snapToGrid w:val="0"/>
              <w:jc w:val="left"/>
              <w:rPr>
                <w:rFonts w:ascii="宋体" w:hAnsi="宋体" w:cs="宋体"/>
                <w:color w:val="auto"/>
                <w:kern w:val="0"/>
                <w:szCs w:val="21"/>
              </w:rPr>
            </w:pPr>
            <w:r>
              <w:rPr>
                <w:rFonts w:hint="eastAsia" w:ascii="宋体" w:hAnsi="宋体" w:cs="宋体"/>
                <w:color w:val="auto"/>
                <w:kern w:val="0"/>
                <w:szCs w:val="21"/>
              </w:rPr>
              <w:t>请登录全国公共资源交易平台（安徽省•合肥市）即安徽合肥公共资源交易中心网站“通知公告”栏目查看《合肥市公共资源交易投标保证金保函操作手册》并按照操作手册规定内容办理。</w:t>
            </w:r>
          </w:p>
          <w:p>
            <w:pPr>
              <w:widowControl/>
              <w:snapToGrid w:val="0"/>
              <w:jc w:val="left"/>
              <w:rPr>
                <w:rFonts w:ascii="宋体" w:hAnsi="宋体" w:cs="宋体"/>
                <w:color w:val="auto"/>
                <w:kern w:val="0"/>
                <w:szCs w:val="21"/>
              </w:rPr>
            </w:pPr>
            <w:r>
              <w:rPr>
                <w:rFonts w:hint="eastAsia" w:ascii="宋体" w:hAnsi="宋体" w:cs="宋体"/>
                <w:color w:val="auto"/>
                <w:kern w:val="0"/>
                <w:szCs w:val="21"/>
              </w:rPr>
              <w:t>注意事项：</w:t>
            </w:r>
          </w:p>
          <w:p>
            <w:pPr>
              <w:widowControl/>
              <w:snapToGrid w:val="0"/>
              <w:jc w:val="left"/>
              <w:rPr>
                <w:rFonts w:ascii="宋体" w:hAnsi="宋体" w:cs="宋体"/>
                <w:color w:val="auto"/>
                <w:kern w:val="0"/>
                <w:szCs w:val="21"/>
              </w:rPr>
            </w:pPr>
            <w:r>
              <w:rPr>
                <w:rFonts w:hint="eastAsia" w:ascii="宋体" w:hAnsi="宋体" w:cs="宋体"/>
                <w:color w:val="auto"/>
                <w:kern w:val="0"/>
                <w:szCs w:val="21"/>
              </w:rPr>
              <w:t>（1）投标保证金交纳账号采用动态虚拟账号，项目招标失败后，投标保证金交纳账号将会发生变化，请投标人参与后续招标时，注意勿将投标保证金错交至其他项目虚拟账号或前次公告账号。</w:t>
            </w:r>
          </w:p>
          <w:p>
            <w:pPr>
              <w:widowControl/>
              <w:snapToGrid w:val="0"/>
              <w:jc w:val="left"/>
              <w:rPr>
                <w:rFonts w:ascii="宋体" w:hAnsi="宋体" w:cs="宋体"/>
                <w:color w:val="auto"/>
                <w:kern w:val="0"/>
                <w:szCs w:val="21"/>
              </w:rPr>
            </w:pPr>
            <w:r>
              <w:rPr>
                <w:rFonts w:hint="eastAsia" w:ascii="宋体" w:hAnsi="宋体" w:cs="宋体"/>
                <w:color w:val="auto"/>
                <w:kern w:val="0"/>
                <w:szCs w:val="21"/>
              </w:rPr>
              <w:t>（2）如本项目前次招标失败，招标人退还投标人的投标保证金。投标人参与本次招标，须向本项目本次公告公布的投标保证金账号重新交纳投标保证金。</w:t>
            </w:r>
          </w:p>
          <w:p>
            <w:pPr>
              <w:widowControl/>
              <w:snapToGrid w:val="0"/>
              <w:jc w:val="left"/>
              <w:rPr>
                <w:rFonts w:ascii="宋体" w:hAnsi="宋体" w:cs="宋体"/>
                <w:color w:val="auto"/>
                <w:kern w:val="0"/>
                <w:szCs w:val="21"/>
              </w:rPr>
            </w:pPr>
            <w:r>
              <w:rPr>
                <w:rFonts w:hint="eastAsia" w:ascii="宋体" w:hAnsi="宋体" w:cs="宋体"/>
                <w:color w:val="auto"/>
                <w:kern w:val="0"/>
                <w:szCs w:val="21"/>
              </w:rPr>
              <w:t>（3）凡转账到其他项目虚拟账户或本项目前次公告账户的，投标保证金无效。</w:t>
            </w:r>
          </w:p>
          <w:p>
            <w:pPr>
              <w:snapToGrid w:val="0"/>
              <w:rPr>
                <w:rFonts w:ascii="宋体" w:hAnsi="宋体" w:cs="宋体"/>
                <w:color w:val="auto"/>
                <w:kern w:val="0"/>
                <w:szCs w:val="21"/>
              </w:rPr>
            </w:pPr>
            <w:r>
              <w:rPr>
                <w:rFonts w:hint="eastAsia" w:ascii="宋体" w:hAnsi="宋体" w:cs="宋体"/>
                <w:color w:val="auto"/>
                <w:kern w:val="0"/>
                <w:szCs w:val="21"/>
              </w:rPr>
              <w:t>（4）投标人参与本项目多个标段（包别）投标的（如分多标段/包别的），应该按标段（包别）分别递交投标保证金。未递交投标保证金的标段（包别），其投标无效。</w:t>
            </w:r>
          </w:p>
          <w:p>
            <w:pPr>
              <w:pStyle w:val="14"/>
              <w:ind w:left="0" w:leftChars="0" w:firstLine="0"/>
              <w:rPr>
                <w:rFonts w:hint="eastAsia"/>
                <w:color w:val="auto"/>
              </w:rPr>
            </w:pPr>
            <w:r>
              <w:rPr>
                <w:rFonts w:hint="eastAsia"/>
                <w:color w:val="auto"/>
              </w:rPr>
              <w:t>（5）注意事项：以上各类机构出具的以担保函、保证保险承担责任的方式均须满足无条件见索即付条件。</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3.4.4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FF0000"/>
              </w:rPr>
            </w:pPr>
            <w:r>
              <w:rPr>
                <w:rFonts w:ascii="Times New Roman" w:hAnsi="Times New Roman"/>
                <w:color w:val="000000"/>
              </w:rPr>
              <w:t>其他不予退还投标保证金的情形</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440" w:lineRule="exact"/>
              <w:outlineLvl w:val="0"/>
              <w:rPr>
                <w:rFonts w:ascii="宋体" w:hAnsi="宋体"/>
                <w:color w:val="000000"/>
              </w:rPr>
            </w:pPr>
            <w:r>
              <w:rPr>
                <w:rFonts w:hint="eastAsia"/>
                <w:color w:val="000000"/>
              </w:rPr>
              <w:t>/</w:t>
            </w:r>
          </w:p>
        </w:tc>
      </w:tr>
      <w:tr>
        <w:tblPrEx>
          <w:tblCellMar>
            <w:top w:w="0" w:type="dxa"/>
            <w:left w:w="108" w:type="dxa"/>
            <w:bottom w:w="0" w:type="dxa"/>
            <w:right w:w="108" w:type="dxa"/>
          </w:tblCellMar>
        </w:tblPrEx>
        <w:trPr>
          <w:trHeight w:val="409"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3.6.1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rPr>
              <w:t>是否允许递交备选投标方案</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6"/>
              <w:topLinePunct/>
              <w:spacing w:line="400" w:lineRule="exact"/>
              <w:rPr>
                <w:rFonts w:hAnsi="宋体"/>
                <w:sz w:val="21"/>
                <w:szCs w:val="22"/>
              </w:rPr>
            </w:pPr>
            <w:r>
              <w:rPr>
                <w:rFonts w:hint="eastAsia" w:ascii="MS Gothic" w:hAnsi="MS Gothic" w:eastAsia="MS Gothic" w:cs="MS Gothic"/>
                <w:kern w:val="0"/>
                <w:szCs w:val="21"/>
              </w:rPr>
              <w:t>☑</w:t>
            </w:r>
            <w:r>
              <w:rPr>
                <w:rFonts w:hint="eastAsia" w:hAnsi="宋体"/>
                <w:sz w:val="21"/>
                <w:szCs w:val="22"/>
              </w:rPr>
              <w:t>不允许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3.7.4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 w:hAnsi="楷体" w:eastAsia="楷体"/>
                <w:color w:val="0000FF"/>
              </w:rPr>
            </w:pPr>
            <w:r>
              <w:rPr>
                <w:rFonts w:hint="eastAsia" w:ascii="Times New Roman" w:hAnsi="Times New Roman"/>
                <w:color w:val="000000"/>
              </w:rPr>
              <w:t>非加密投标文件递交（本项目不采用）</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color w:val="000000"/>
              </w:rPr>
            </w:pPr>
            <w:r>
              <w:rPr>
                <w:rFonts w:hint="eastAsia" w:ascii="Times New Roman" w:hAnsi="Times New Roman"/>
                <w:color w:val="000000"/>
              </w:rPr>
              <w:t>非加密投标文件由投标人自行确定是否递交。</w:t>
            </w:r>
          </w:p>
          <w:p>
            <w:pPr>
              <w:snapToGrid w:val="0"/>
              <w:rPr>
                <w:rFonts w:hint="eastAsia" w:ascii="Times New Roman" w:hAnsi="Times New Roman"/>
                <w:color w:val="000000"/>
              </w:rPr>
            </w:pPr>
            <w:r>
              <w:rPr>
                <w:rFonts w:hint="eastAsia" w:ascii="Times New Roman" w:hAnsi="Times New Roman"/>
                <w:color w:val="000000"/>
              </w:rPr>
              <w:t>如递交，应在投标截止时间前在开标地点递交，并提供以下证明材料，否则招标人不予接收。</w:t>
            </w:r>
          </w:p>
          <w:p>
            <w:pPr>
              <w:snapToGrid w:val="0"/>
              <w:rPr>
                <w:rFonts w:hint="eastAsia" w:ascii="Times New Roman" w:hAnsi="Times New Roman"/>
                <w:color w:val="000000"/>
              </w:rPr>
            </w:pPr>
            <w:r>
              <w:rPr>
                <w:rFonts w:hint="eastAsia" w:ascii="Times New Roman" w:hAnsi="Times New Roman"/>
                <w:color w:val="000000"/>
              </w:rPr>
              <w:t>（1）法定代表人亲自递交的，应提供法定代表人身份证明和法定代表人的有效身份证件；</w:t>
            </w:r>
          </w:p>
          <w:p>
            <w:pPr>
              <w:snapToGrid w:val="0"/>
              <w:rPr>
                <w:rFonts w:hint="eastAsia" w:ascii="Times New Roman" w:hAnsi="Times New Roman"/>
                <w:color w:val="000000"/>
              </w:rPr>
            </w:pPr>
            <w:r>
              <w:rPr>
                <w:rFonts w:hint="eastAsia" w:ascii="Times New Roman" w:hAnsi="Times New Roman"/>
                <w:color w:val="000000"/>
              </w:rPr>
              <w:t>（2）委托代理人递交的，应提供授权委托书和委托代理人的有效身份证件。</w:t>
            </w:r>
          </w:p>
          <w:p>
            <w:pPr>
              <w:snapToGrid w:val="0"/>
              <w:rPr>
                <w:rFonts w:hint="eastAsia" w:ascii="Times New Roman" w:hAnsi="Times New Roman"/>
                <w:color w:val="000000"/>
              </w:rPr>
            </w:pPr>
            <w:r>
              <w:rPr>
                <w:rFonts w:ascii="Times New Roman" w:hAnsi="Times New Roman"/>
                <w:color w:val="000000"/>
              </w:rPr>
              <w:t>非加密投标文件介质</w:t>
            </w:r>
            <w:r>
              <w:rPr>
                <w:rFonts w:hint="eastAsia" w:ascii="Times New Roman" w:hAnsi="Times New Roman"/>
                <w:color w:val="000000"/>
              </w:rPr>
              <w:t>：</w:t>
            </w:r>
            <w:r>
              <w:rPr>
                <w:rFonts w:ascii="Times New Roman" w:hAnsi="Times New Roman"/>
                <w:color w:val="000000"/>
              </w:rPr>
              <w:t>光盘</w:t>
            </w:r>
            <w:r>
              <w:rPr>
                <w:rFonts w:hint="eastAsia" w:ascii="Times New Roman" w:hAnsi="Times New Roman"/>
                <w:color w:val="000000"/>
              </w:rPr>
              <w:t>或</w:t>
            </w:r>
            <w:r>
              <w:rPr>
                <w:rFonts w:ascii="Times New Roman" w:hAnsi="Times New Roman"/>
                <w:color w:val="000000"/>
              </w:rPr>
              <w:t>U盘</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4.1.2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 w:hAnsi="楷体" w:eastAsia="楷体"/>
                <w:color w:val="0000FF"/>
              </w:rPr>
            </w:pPr>
            <w:r>
              <w:rPr>
                <w:rFonts w:ascii="Times New Roman" w:hAnsi="Times New Roman"/>
                <w:color w:val="000000"/>
              </w:rPr>
              <w:t>非加密投标文件</w:t>
            </w:r>
            <w:r>
              <w:rPr>
                <w:rFonts w:hint="eastAsia" w:ascii="Times New Roman" w:hAnsi="Times New Roman"/>
                <w:color w:val="000000"/>
              </w:rPr>
              <w:t>及银行保函</w:t>
            </w:r>
            <w:r>
              <w:rPr>
                <w:rFonts w:ascii="Times New Roman" w:hAnsi="Times New Roman"/>
                <w:color w:val="000000"/>
              </w:rPr>
              <w:t>密封和标记要求</w:t>
            </w:r>
            <w:r>
              <w:rPr>
                <w:rFonts w:hint="eastAsia" w:ascii="Times New Roman" w:hAnsi="Times New Roman"/>
                <w:color w:val="000000"/>
              </w:rPr>
              <w:t>（本项目不采用）</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b/>
                <w:color w:val="000000"/>
              </w:rPr>
            </w:pPr>
            <w:r>
              <w:rPr>
                <w:rFonts w:ascii="Times New Roman" w:hAnsi="Times New Roman"/>
                <w:b/>
                <w:color w:val="000000"/>
              </w:rPr>
              <w:t>非加密投标文件封套</w:t>
            </w:r>
            <w:r>
              <w:rPr>
                <w:rFonts w:hint="eastAsia" w:ascii="Times New Roman" w:hAnsi="Times New Roman"/>
                <w:b/>
                <w:color w:val="000000"/>
              </w:rPr>
              <w:t>:</w:t>
            </w:r>
          </w:p>
          <w:p>
            <w:pPr>
              <w:snapToGrid w:val="0"/>
              <w:rPr>
                <w:rFonts w:hint="eastAsia" w:ascii="Times New Roman" w:hAnsi="Times New Roman"/>
                <w:bCs/>
                <w:snapToGrid w:val="0"/>
                <w:color w:val="000000"/>
                <w:kern w:val="0"/>
                <w:szCs w:val="21"/>
              </w:rPr>
            </w:pPr>
            <w:r>
              <w:rPr>
                <w:rFonts w:hint="eastAsia" w:ascii="Times New Roman" w:hAnsi="Times New Roman"/>
                <w:color w:val="000000"/>
              </w:rPr>
              <w:t>投标人地址：</w:t>
            </w:r>
            <w:r>
              <w:rPr>
                <w:rFonts w:hint="eastAsia" w:ascii="Times New Roman" w:hAnsi="Times New Roman"/>
                <w:bCs/>
                <w:snapToGrid w:val="0"/>
                <w:color w:val="000000"/>
                <w:kern w:val="0"/>
                <w:szCs w:val="21"/>
                <w:u w:val="single"/>
              </w:rPr>
              <w:t xml:space="preserve">            </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投标人名称：</w:t>
            </w:r>
            <w:r>
              <w:rPr>
                <w:rFonts w:hint="eastAsia" w:ascii="Times New Roman" w:hAnsi="Times New Roman"/>
                <w:bCs/>
                <w:snapToGrid w:val="0"/>
                <w:color w:val="000000"/>
                <w:kern w:val="0"/>
                <w:szCs w:val="21"/>
                <w:u w:val="single"/>
              </w:rPr>
              <w:t xml:space="preserve">            </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(项目名称)</w:t>
            </w: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标段投标文件</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（非加密投标文件光盘）</w:t>
            </w:r>
          </w:p>
          <w:p>
            <w:pPr>
              <w:snapToGrid w:val="0"/>
              <w:rPr>
                <w:rFonts w:hint="eastAsia" w:ascii="Times New Roman" w:hAnsi="Times New Roman"/>
                <w:bCs/>
                <w:snapToGrid w:val="0"/>
                <w:color w:val="000000"/>
                <w:kern w:val="0"/>
                <w:szCs w:val="21"/>
              </w:rPr>
            </w:pP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在</w:t>
            </w: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年</w:t>
            </w: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月</w:t>
            </w: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日</w:t>
            </w: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时</w:t>
            </w:r>
            <w:r>
              <w:rPr>
                <w:rFonts w:hint="eastAsia" w:ascii="Times New Roman" w:hAnsi="Times New Roman"/>
                <w:bCs/>
                <w:snapToGrid w:val="0"/>
                <w:color w:val="000000"/>
                <w:kern w:val="0"/>
                <w:szCs w:val="21"/>
                <w:u w:val="single"/>
              </w:rPr>
              <w:t xml:space="preserve">   </w:t>
            </w:r>
            <w:r>
              <w:rPr>
                <w:rFonts w:hint="eastAsia" w:ascii="Times New Roman" w:hAnsi="Times New Roman"/>
                <w:bCs/>
                <w:snapToGrid w:val="0"/>
                <w:color w:val="000000"/>
                <w:kern w:val="0"/>
                <w:szCs w:val="21"/>
              </w:rPr>
              <w:t>分前不得开启</w:t>
            </w:r>
          </w:p>
          <w:p>
            <w:pPr>
              <w:spacing w:after="120"/>
              <w:ind w:left="480" w:leftChars="200" w:firstLine="480" w:firstLineChars="200"/>
              <w:rPr>
                <w:rFonts w:hint="eastAsia"/>
              </w:rPr>
            </w:pPr>
          </w:p>
          <w:p>
            <w:pPr>
              <w:snapToGrid w:val="0"/>
              <w:rPr>
                <w:rFonts w:hint="eastAsia" w:ascii="Times New Roman" w:hAnsi="Times New Roman"/>
                <w:b/>
                <w:bCs/>
                <w:snapToGrid w:val="0"/>
                <w:color w:val="000000"/>
                <w:kern w:val="0"/>
                <w:szCs w:val="21"/>
              </w:rPr>
            </w:pPr>
            <w:r>
              <w:rPr>
                <w:rFonts w:hint="eastAsia" w:ascii="Times New Roman" w:hAnsi="Times New Roman"/>
                <w:b/>
                <w:bCs/>
                <w:snapToGrid w:val="0"/>
                <w:color w:val="000000"/>
                <w:kern w:val="0"/>
                <w:szCs w:val="21"/>
              </w:rPr>
              <w:t>银行保函封套：/</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投标人地址：</w:t>
            </w:r>
            <w:r>
              <w:rPr>
                <w:rFonts w:hint="eastAsia" w:ascii="Times New Roman" w:hAnsi="Times New Roman"/>
                <w:bCs/>
                <w:snapToGrid w:val="0"/>
                <w:color w:val="000000"/>
                <w:kern w:val="0"/>
                <w:szCs w:val="21"/>
                <w:u w:val="single"/>
              </w:rPr>
              <w:t xml:space="preserve">  /   </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投标人名称：</w:t>
            </w:r>
            <w:r>
              <w:rPr>
                <w:rFonts w:hint="eastAsia" w:ascii="Times New Roman" w:hAnsi="Times New Roman"/>
                <w:bCs/>
                <w:snapToGrid w:val="0"/>
                <w:color w:val="000000"/>
                <w:kern w:val="0"/>
                <w:szCs w:val="21"/>
                <w:u w:val="single"/>
              </w:rPr>
              <w:t xml:space="preserve">   /   </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(项目名称)</w:t>
            </w: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标段投标文件</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（银行保函）</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在</w:t>
            </w: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年</w:t>
            </w: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月</w:t>
            </w: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日</w:t>
            </w: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时</w:t>
            </w:r>
            <w:r>
              <w:rPr>
                <w:rFonts w:hint="eastAsia" w:ascii="Times New Roman" w:hAnsi="Times New Roman"/>
                <w:bCs/>
                <w:snapToGrid w:val="0"/>
                <w:color w:val="000000"/>
                <w:kern w:val="0"/>
                <w:szCs w:val="21"/>
                <w:u w:val="single"/>
              </w:rPr>
              <w:t xml:space="preserve">  / </w:t>
            </w:r>
            <w:r>
              <w:rPr>
                <w:rFonts w:hint="eastAsia" w:ascii="Times New Roman" w:hAnsi="Times New Roman"/>
                <w:bCs/>
                <w:snapToGrid w:val="0"/>
                <w:color w:val="000000"/>
                <w:kern w:val="0"/>
                <w:szCs w:val="21"/>
              </w:rPr>
              <w:t>分前不得开启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4.2.2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 w:hAnsi="楷体" w:eastAsia="楷体"/>
                <w:color w:val="0000FF"/>
              </w:rPr>
            </w:pPr>
            <w:r>
              <w:rPr>
                <w:rFonts w:ascii="Times New Roman" w:hAnsi="Times New Roman"/>
                <w:color w:val="000000"/>
              </w:rPr>
              <w:t>递交非加密投标文件</w:t>
            </w:r>
            <w:r>
              <w:rPr>
                <w:rFonts w:hint="eastAsia" w:ascii="Times New Roman" w:hAnsi="Times New Roman"/>
                <w:color w:val="000000"/>
              </w:rPr>
              <w:t>及银行保函</w:t>
            </w:r>
            <w:r>
              <w:rPr>
                <w:rFonts w:ascii="Times New Roman" w:hAnsi="Times New Roman"/>
                <w:color w:val="000000"/>
              </w:rPr>
              <w:t>密封地点</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6" w:firstLineChars="15"/>
              <w:rPr>
                <w:rFonts w:hint="eastAsia" w:ascii="Times New Roman" w:hAnsi="Times New Roman"/>
                <w:color w:val="000000"/>
              </w:rPr>
            </w:pPr>
            <w:r>
              <w:rPr>
                <w:rFonts w:hint="eastAsia" w:ascii="Times New Roman" w:hAnsi="Times New Roman"/>
                <w:bCs/>
                <w:snapToGrid w:val="0"/>
                <w:color w:val="000000"/>
                <w:kern w:val="0"/>
                <w:szCs w:val="21"/>
              </w:rPr>
              <w:t>同开标地点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4.2.3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投标文件是否退还</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6"/>
              <w:topLinePunct/>
              <w:spacing w:line="400" w:lineRule="exact"/>
              <w:rPr>
                <w:rFonts w:hAnsi="宋体"/>
                <w:szCs w:val="22"/>
              </w:rPr>
            </w:pPr>
            <w:r>
              <w:rPr>
                <w:rFonts w:hint="eastAsia" w:ascii="MS Gothic" w:hAnsi="MS Gothic" w:eastAsia="MS Gothic" w:cs="MS Gothic"/>
                <w:color w:val="000000"/>
                <w:szCs w:val="24"/>
              </w:rPr>
              <w:t>☑</w:t>
            </w:r>
            <w:r>
              <w:rPr>
                <w:rFonts w:hint="eastAsia" w:hAnsi="宋体"/>
                <w:sz w:val="21"/>
                <w:szCs w:val="21"/>
              </w:rPr>
              <w:t>否</w:t>
            </w:r>
          </w:p>
          <w:p>
            <w:pPr>
              <w:pStyle w:val="6"/>
              <w:topLinePunct/>
              <w:spacing w:line="400" w:lineRule="exact"/>
              <w:rPr>
                <w:rFonts w:hAnsi="宋体"/>
                <w:sz w:val="21"/>
                <w:szCs w:val="22"/>
              </w:rPr>
            </w:pPr>
            <w:r>
              <w:rPr>
                <w:rFonts w:hint="eastAsia" w:hAnsi="宋体"/>
                <w:color w:val="000000"/>
                <w:szCs w:val="24"/>
              </w:rPr>
              <w:t>□</w:t>
            </w:r>
            <w:r>
              <w:rPr>
                <w:rFonts w:hint="eastAsia" w:hAnsi="宋体"/>
                <w:sz w:val="21"/>
                <w:szCs w:val="22"/>
              </w:rPr>
              <w:t>是，退还安排：</w:t>
            </w:r>
          </w:p>
        </w:tc>
      </w:tr>
      <w:tr>
        <w:tblPrEx>
          <w:tblCellMar>
            <w:top w:w="0" w:type="dxa"/>
            <w:left w:w="108" w:type="dxa"/>
            <w:bottom w:w="0" w:type="dxa"/>
            <w:right w:w="108" w:type="dxa"/>
          </w:tblCellMar>
        </w:tblPrEx>
        <w:trPr>
          <w:trHeight w:val="981"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szCs w:val="21"/>
              </w:rPr>
              <w:t>5.1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color w:val="000000"/>
              </w:rPr>
            </w:pPr>
            <w:r>
              <w:rPr>
                <w:rFonts w:hint="eastAsia"/>
                <w:color w:val="000000"/>
              </w:rPr>
              <w:t>开标时间和地点</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color w:val="000000"/>
              </w:rPr>
            </w:pPr>
            <w:r>
              <w:rPr>
                <w:rFonts w:hint="eastAsia"/>
                <w:color w:val="000000"/>
              </w:rPr>
              <w:t>开标时间：</w:t>
            </w:r>
            <w:r>
              <w:rPr>
                <w:rFonts w:hint="eastAsia" w:ascii="Times New Roman" w:hAnsi="Times New Roman"/>
                <w:color w:val="000000"/>
              </w:rPr>
              <w:t>见招标公告</w:t>
            </w:r>
          </w:p>
          <w:p>
            <w:pPr>
              <w:snapToGrid w:val="0"/>
              <w:rPr>
                <w:rFonts w:hint="eastAsia"/>
                <w:color w:val="000000"/>
              </w:rPr>
            </w:pPr>
            <w:r>
              <w:rPr>
                <w:rFonts w:hint="eastAsia"/>
                <w:color w:val="000000"/>
              </w:rPr>
              <w:t>开标地点：</w:t>
            </w:r>
            <w:r>
              <w:rPr>
                <w:rFonts w:hint="eastAsia" w:ascii="Times New Roman" w:hAnsi="Times New Roman"/>
                <w:color w:val="000000"/>
              </w:rPr>
              <w:t>见招标公告</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ascii="宋体" w:hAnsi="宋体"/>
                <w:color w:val="000000"/>
              </w:rPr>
              <w:t>5.2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olor w:val="000000"/>
              </w:rPr>
              <w:t>开标程序</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color w:val="000000"/>
              </w:rPr>
            </w:pPr>
          </w:p>
          <w:p>
            <w:pPr>
              <w:snapToGrid w:val="0"/>
              <w:rPr>
                <w:rFonts w:hint="eastAsia" w:ascii="Times New Roman" w:hAnsi="Times New Roman"/>
                <w:color w:val="000000"/>
              </w:rPr>
            </w:pPr>
            <w:r>
              <w:rPr>
                <w:rFonts w:hint="eastAsia" w:ascii="Times New Roman" w:hAnsi="Times New Roman"/>
                <w:color w:val="000000"/>
              </w:rPr>
              <w:t>公布投标人名称、标段名称、投标报价（或定价）、服务期限及其他内容。</w:t>
            </w:r>
          </w:p>
          <w:p>
            <w:pPr>
              <w:snapToGrid w:val="0"/>
              <w:rPr>
                <w:rFonts w:hint="eastAsia" w:ascii="Times New Roman" w:hAnsi="Times New Roman"/>
                <w:color w:val="000000"/>
              </w:rPr>
            </w:pPr>
            <w:r>
              <w:rPr>
                <w:rFonts w:hint="eastAsia" w:ascii="Times New Roman" w:hAnsi="Times New Roman"/>
                <w:color w:val="000000"/>
              </w:rPr>
              <w:t>对商务、技术文件评审完成后，再开启投标人的报价文件并进行评审。</w:t>
            </w:r>
          </w:p>
          <w:p>
            <w:pPr>
              <w:snapToGrid w:val="0"/>
              <w:rPr>
                <w:rFonts w:ascii="宋体" w:hAnsi="宋体"/>
                <w:b/>
                <w:color w:val="000000"/>
                <w:sz w:val="32"/>
              </w:rPr>
            </w:pPr>
            <w:r>
              <w:rPr>
                <w:rFonts w:hint="eastAsia" w:ascii="Times New Roman" w:hAnsi="Times New Roman"/>
                <w:color w:val="000000"/>
              </w:rPr>
              <w:t>多标段开标顺序：</w:t>
            </w:r>
            <w:r>
              <w:rPr>
                <w:rFonts w:hint="eastAsia"/>
                <w:color w:val="000000"/>
                <w:u w:val="single"/>
              </w:rPr>
              <w:t xml:space="preserve">   /     </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6.1.1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000000"/>
              </w:rPr>
            </w:pPr>
            <w:r>
              <w:rPr>
                <w:rFonts w:hint="eastAsia" w:ascii="宋体" w:hAnsi="宋体"/>
                <w:color w:val="000000"/>
              </w:rPr>
              <w:t>评标委员会的组建</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6" w:firstLineChars="15"/>
              <w:rPr>
                <w:rFonts w:hint="eastAsia"/>
                <w:color w:val="000000"/>
              </w:rPr>
            </w:pPr>
            <w:r>
              <w:rPr>
                <w:rFonts w:hint="eastAsia"/>
                <w:color w:val="000000"/>
              </w:rPr>
              <w:t>评标委员会构成：</w:t>
            </w:r>
            <w:r>
              <w:rPr>
                <w:rFonts w:hint="eastAsia"/>
                <w:color w:val="000000"/>
                <w:u w:val="single"/>
              </w:rPr>
              <w:t>依法组建</w:t>
            </w:r>
          </w:p>
          <w:p>
            <w:pPr>
              <w:snapToGrid w:val="0"/>
              <w:ind w:firstLine="36" w:firstLineChars="15"/>
              <w:rPr>
                <w:rFonts w:hint="eastAsia"/>
                <w:color w:val="000000"/>
              </w:rPr>
            </w:pPr>
            <w:r>
              <w:rPr>
                <w:rFonts w:hint="eastAsia"/>
                <w:color w:val="000000"/>
              </w:rPr>
              <w:t>评标专家确定方式：</w:t>
            </w:r>
            <w:r>
              <w:rPr>
                <w:rFonts w:hint="eastAsia"/>
                <w:color w:val="000000"/>
                <w:u w:val="single"/>
              </w:rPr>
              <w:t xml:space="preserve">依法确定  </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6.3.2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hint="eastAsia" w:ascii="宋体" w:hAnsi="宋体"/>
                <w:color w:val="000000"/>
              </w:rPr>
              <w:t>评标委员会推荐中标候选人的人数</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keepNext/>
              <w:keepLines/>
              <w:spacing w:before="340" w:after="330" w:line="440" w:lineRule="exact"/>
              <w:outlineLvl w:val="0"/>
              <w:rPr>
                <w:rFonts w:ascii="宋体" w:hAnsi="宋体"/>
                <w:b/>
                <w:bCs/>
                <w:color w:val="000000"/>
              </w:rPr>
            </w:pPr>
            <w:r>
              <w:rPr>
                <w:rFonts w:hint="eastAsia" w:ascii="宋体" w:hAnsi="宋体"/>
                <w:b w:val="0"/>
                <w:bCs w:val="0"/>
                <w:color w:val="00B0F0"/>
              </w:rPr>
              <w:t>第一中标候选人</w:t>
            </w:r>
            <w:r>
              <w:rPr>
                <w:rFonts w:hint="eastAsia" w:ascii="宋体" w:hAnsi="宋体" w:eastAsia="宋体"/>
                <w:b w:val="0"/>
                <w:bCs w:val="0"/>
                <w:color w:val="00B0F0"/>
                <w:lang w:val="en-US" w:eastAsia="zh-CN"/>
              </w:rPr>
              <w:t>1</w:t>
            </w:r>
            <w:r>
              <w:rPr>
                <w:rFonts w:hint="eastAsia" w:ascii="宋体" w:hAnsi="宋体"/>
                <w:b w:val="0"/>
                <w:bCs w:val="0"/>
                <w:color w:val="00B0F0"/>
              </w:rPr>
              <w:t>家；第二中标候选人1家。</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rPr>
              <w:t>7.1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olor w:val="0000FF"/>
              </w:rPr>
            </w:pPr>
            <w:r>
              <w:rPr>
                <w:rFonts w:hint="eastAsia" w:ascii="宋体" w:hAnsi="宋体"/>
                <w:color w:val="000000"/>
              </w:rPr>
              <w:t>中标候选人公示媒介及期限</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color w:val="000000"/>
              </w:rPr>
            </w:pPr>
            <w:r>
              <w:rPr>
                <w:rFonts w:hint="eastAsia" w:ascii="Times New Roman" w:hAnsi="Times New Roman"/>
                <w:color w:val="000000"/>
              </w:rPr>
              <w:t>公示媒介：同招标公告发布媒介</w:t>
            </w:r>
          </w:p>
          <w:p>
            <w:pPr>
              <w:snapToGrid w:val="0"/>
              <w:rPr>
                <w:rFonts w:hint="eastAsia" w:ascii="Times New Roman" w:hAnsi="Times New Roman"/>
                <w:color w:val="000000"/>
              </w:rPr>
            </w:pPr>
            <w:r>
              <w:rPr>
                <w:rFonts w:hint="eastAsia" w:ascii="Times New Roman" w:hAnsi="Times New Roman"/>
                <w:color w:val="000000"/>
              </w:rPr>
              <w:t>公示期限：</w:t>
            </w:r>
            <w:r>
              <w:rPr>
                <w:rFonts w:hint="eastAsia"/>
                <w:color w:val="000000"/>
                <w:u w:val="single"/>
              </w:rPr>
              <w:t>不少于3</w:t>
            </w:r>
            <w:r>
              <w:rPr>
                <w:rFonts w:hint="eastAsia" w:ascii="Times New Roman" w:hAnsi="Times New Roman"/>
                <w:color w:val="000000"/>
              </w:rPr>
              <w:t>_日</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ascii="宋体" w:hAnsi="宋体"/>
              </w:rPr>
              <w:t>7.4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hint="eastAsia" w:ascii="宋体" w:hAnsi="宋体"/>
              </w:rPr>
              <w:t>是否授权评标委员会确定中标人</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60" w:line="440" w:lineRule="exact"/>
              <w:textAlignment w:val="baseline"/>
              <w:outlineLvl w:val="0"/>
              <w:rPr>
                <w:rFonts w:ascii="宋体" w:hAnsi="宋体"/>
                <w:color w:val="000000"/>
                <w:szCs w:val="21"/>
              </w:rPr>
            </w:pPr>
            <w:r>
              <w:rPr>
                <w:rFonts w:hint="eastAsia" w:ascii="MS Gothic" w:hAnsi="MS Gothic" w:eastAsia="MS Gothic" w:cs="MS Gothic"/>
                <w:color w:val="000000"/>
                <w:szCs w:val="21"/>
              </w:rPr>
              <w:t>☑</w:t>
            </w:r>
            <w:r>
              <w:rPr>
                <w:rFonts w:hint="eastAsia" w:ascii="宋体" w:hAnsi="宋体"/>
                <w:color w:val="000000"/>
                <w:szCs w:val="21"/>
              </w:rPr>
              <w:t>是</w:t>
            </w:r>
          </w:p>
          <w:p>
            <w:pPr>
              <w:spacing w:line="440" w:lineRule="exact"/>
              <w:rPr>
                <w:rFonts w:ascii="宋体" w:hAnsi="宋体"/>
              </w:rPr>
            </w:pPr>
            <w:r>
              <w:rPr>
                <w:rFonts w:hint="eastAsia" w:ascii="Times New Roman" w:hAnsi="Times New Roman"/>
                <w:color w:val="000000"/>
              </w:rPr>
              <w:t>□</w:t>
            </w:r>
            <w:r>
              <w:rPr>
                <w:rFonts w:hint="eastAsia"/>
                <w:color w:val="000000"/>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ascii="宋体" w:hAnsi="宋体"/>
              </w:rPr>
              <w:t>7.5</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中标通知书发出的形式</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color w:val="000000"/>
              </w:rPr>
            </w:pPr>
            <w:r>
              <w:rPr>
                <w:rFonts w:hint="eastAsia" w:ascii="Times New Roman" w:hAnsi="Times New Roman" w:eastAsia="宋体"/>
                <w:color w:val="000000"/>
                <w:lang w:eastAsia="zh-CN"/>
              </w:rPr>
              <w:t>☑</w:t>
            </w:r>
            <w:r>
              <w:rPr>
                <w:rFonts w:hint="eastAsia" w:ascii="Times New Roman" w:hAnsi="Times New Roman"/>
                <w:color w:val="000000"/>
              </w:rPr>
              <w:t xml:space="preserve">书面  </w:t>
            </w:r>
            <w:r>
              <w:rPr>
                <w:rFonts w:hint="eastAsia" w:ascii="MS Gothic" w:hAnsi="MS Gothic" w:eastAsia="宋体" w:cs="MS Gothic"/>
                <w:color w:val="000000"/>
                <w:lang w:eastAsia="zh-CN"/>
              </w:rPr>
              <w:t>☑</w:t>
            </w:r>
            <w:r>
              <w:rPr>
                <w:rFonts w:hint="eastAsia" w:ascii="Times New Roman" w:hAnsi="Times New Roman"/>
                <w:color w:val="000000"/>
              </w:rPr>
              <w:t>数据电文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rPr>
            </w:pPr>
            <w:r>
              <w:rPr>
                <w:rFonts w:ascii="宋体" w:hAnsi="宋体"/>
                <w:color w:val="000000"/>
              </w:rPr>
              <w:t>7.6</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rPr>
            </w:pPr>
            <w:r>
              <w:rPr>
                <w:rFonts w:hint="eastAsia" w:ascii="宋体" w:hAnsi="宋体"/>
                <w:color w:val="000000"/>
              </w:rPr>
              <w:t>中标结果公示媒介</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楷体" w:hAnsi="楷体" w:eastAsia="楷体"/>
                <w:color w:val="FF0000"/>
              </w:rPr>
            </w:pPr>
            <w:r>
              <w:rPr>
                <w:rFonts w:hint="eastAsia" w:ascii="Times New Roman" w:hAnsi="Times New Roman"/>
                <w:color w:val="000000"/>
              </w:rPr>
              <w:t>公示媒介：同招标公告发布媒介</w:t>
            </w:r>
          </w:p>
        </w:tc>
      </w:tr>
      <w:tr>
        <w:tblPrEx>
          <w:tblCellMar>
            <w:top w:w="0" w:type="dxa"/>
            <w:left w:w="108" w:type="dxa"/>
            <w:bottom w:w="0" w:type="dxa"/>
            <w:right w:w="108" w:type="dxa"/>
          </w:tblCellMar>
        </w:tblPrEx>
        <w:trPr>
          <w:trHeight w:val="394"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olor w:val="000000"/>
              </w:rPr>
            </w:pPr>
            <w:r>
              <w:rPr>
                <w:rFonts w:ascii="宋体" w:hAnsi="宋体"/>
                <w:color w:val="000000"/>
              </w:rPr>
              <w:t>7.</w:t>
            </w:r>
            <w:r>
              <w:rPr>
                <w:rFonts w:ascii="宋体" w:hAnsi="宋体"/>
              </w:rPr>
              <w:t>7.</w:t>
            </w:r>
            <w:r>
              <w:rPr>
                <w:rFonts w:ascii="宋体" w:hAnsi="宋体"/>
                <w:color w:val="000000"/>
              </w:rPr>
              <w:t>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履约保证金</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szCs w:val="21"/>
              </w:rPr>
              <w:t>（</w:t>
            </w:r>
            <w:r>
              <w:rPr>
                <w:szCs w:val="21"/>
              </w:rPr>
              <w:t>1</w:t>
            </w:r>
            <w:r>
              <w:rPr>
                <w:rFonts w:hint="eastAsia"/>
                <w:szCs w:val="21"/>
              </w:rPr>
              <w:t>）形式：</w:t>
            </w:r>
            <w:r>
              <w:rPr>
                <w:szCs w:val="21"/>
              </w:rPr>
              <w:tab/>
            </w:r>
            <w:r>
              <w:rPr>
                <w:rFonts w:hint="eastAsia" w:ascii="MS Gothic" w:hAnsi="MS Gothic" w:eastAsia="MS Gothic" w:cs="MS Gothic"/>
                <w:color w:val="000000"/>
              </w:rPr>
              <w:t>☑</w:t>
            </w:r>
            <w:r>
              <w:rPr>
                <w:rFonts w:hint="eastAsia"/>
                <w:szCs w:val="21"/>
              </w:rPr>
              <w:t>银行转账</w:t>
            </w:r>
            <w:r>
              <w:rPr>
                <w:szCs w:val="21"/>
              </w:rPr>
              <w:t xml:space="preserve"> </w:t>
            </w:r>
            <w:r>
              <w:rPr>
                <w:rFonts w:hint="eastAsia" w:ascii="MS Gothic" w:hAnsi="MS Gothic" w:eastAsia="MS Gothic" w:cs="MS Gothic"/>
                <w:color w:val="000000"/>
              </w:rPr>
              <w:t>☑</w:t>
            </w:r>
            <w:r>
              <w:rPr>
                <w:rFonts w:hint="eastAsia"/>
                <w:szCs w:val="21"/>
              </w:rPr>
              <w:t>银行电汇</w:t>
            </w:r>
            <w:r>
              <w:rPr>
                <w:szCs w:val="21"/>
              </w:rPr>
              <w:t xml:space="preserve"> </w:t>
            </w:r>
            <w:r>
              <w:rPr>
                <w:rFonts w:hint="eastAsia" w:ascii="MS Gothic" w:hAnsi="MS Gothic" w:eastAsia="MS Gothic" w:cs="MS Gothic"/>
                <w:color w:val="000000"/>
              </w:rPr>
              <w:t>☑</w:t>
            </w:r>
            <w:r>
              <w:rPr>
                <w:rFonts w:hint="eastAsia"/>
                <w:szCs w:val="21"/>
              </w:rPr>
              <w:t>银行保函</w:t>
            </w:r>
            <w:r>
              <w:rPr>
                <w:szCs w:val="21"/>
              </w:rPr>
              <w:t xml:space="preserve"> </w:t>
            </w:r>
            <w:r>
              <w:rPr>
                <w:rFonts w:hint="eastAsia" w:ascii="MS Gothic" w:hAnsi="MS Gothic" w:eastAsia="MS Gothic" w:cs="MS Gothic"/>
                <w:color w:val="000000"/>
              </w:rPr>
              <w:t>☑</w:t>
            </w:r>
            <w:r>
              <w:rPr>
                <w:rFonts w:hint="eastAsia"/>
                <w:szCs w:val="21"/>
              </w:rPr>
              <w:t>担保机构担保</w:t>
            </w:r>
            <w:r>
              <w:rPr>
                <w:szCs w:val="21"/>
              </w:rPr>
              <w:t xml:space="preserve"> </w:t>
            </w:r>
            <w:r>
              <w:rPr>
                <w:rFonts w:hint="eastAsia" w:ascii="MS Gothic" w:hAnsi="MS Gothic" w:eastAsia="MS Gothic" w:cs="MS Gothic"/>
                <w:color w:val="000000"/>
              </w:rPr>
              <w:t>☑</w:t>
            </w:r>
            <w:r>
              <w:rPr>
                <w:rFonts w:hint="eastAsia"/>
                <w:szCs w:val="21"/>
              </w:rPr>
              <w:t>保证保险</w:t>
            </w:r>
          </w:p>
          <w:p>
            <w:pPr>
              <w:snapToGrid w:val="0"/>
              <w:rPr>
                <w:rFonts w:hint="default" w:eastAsia="宋体"/>
                <w:b w:val="0"/>
                <w:bCs w:val="0"/>
                <w:color w:val="auto"/>
                <w:szCs w:val="21"/>
                <w:lang w:val="en-US" w:eastAsia="zh-CN"/>
              </w:rPr>
            </w:pPr>
            <w:r>
              <w:rPr>
                <w:rFonts w:hint="eastAsia"/>
                <w:b w:val="0"/>
                <w:bCs w:val="0"/>
                <w:color w:val="auto"/>
                <w:szCs w:val="21"/>
              </w:rPr>
              <w:t>（2）金额：</w:t>
            </w:r>
            <w:r>
              <w:rPr>
                <w:rFonts w:hint="eastAsia" w:eastAsia="宋体"/>
                <w:b w:val="0"/>
                <w:bCs w:val="0"/>
                <w:color w:val="auto"/>
                <w:szCs w:val="21"/>
                <w:lang w:eastAsia="zh-CN"/>
              </w:rPr>
              <w:t>中标价格</w:t>
            </w:r>
            <w:r>
              <w:rPr>
                <w:rFonts w:hint="eastAsia" w:eastAsia="宋体"/>
                <w:b w:val="0"/>
                <w:bCs w:val="0"/>
                <w:color w:val="auto"/>
                <w:szCs w:val="21"/>
                <w:lang w:val="en-US" w:eastAsia="zh-CN"/>
              </w:rPr>
              <w:t>10%。（综合）</w:t>
            </w:r>
          </w:p>
          <w:p>
            <w:pPr>
              <w:snapToGrid w:val="0"/>
              <w:rPr>
                <w:rFonts w:hint="eastAsia"/>
                <w:szCs w:val="21"/>
              </w:rPr>
            </w:pPr>
            <w:r>
              <w:rPr>
                <w:rFonts w:hint="eastAsia"/>
                <w:szCs w:val="21"/>
              </w:rPr>
              <w:t>（3）如采用银行保函，银行保函应为合肥行政区域（含四县一市）具有分支机构的银行出具的见索即付无条件保函。</w:t>
            </w:r>
          </w:p>
          <w:p>
            <w:pPr>
              <w:snapToGrid w:val="0"/>
              <w:rPr>
                <w:rFonts w:hint="eastAsia"/>
                <w:color w:val="auto"/>
                <w:szCs w:val="21"/>
              </w:rPr>
            </w:pPr>
            <w:r>
              <w:rPr>
                <w:rFonts w:hint="eastAsia"/>
                <w:szCs w:val="21"/>
              </w:rPr>
              <w:t>（4）如采用担保机构担保，应为注册地在合肥行政区域（含四县一市）范围内的融资担保机构或经</w:t>
            </w:r>
            <w:r>
              <w:rPr>
                <w:rFonts w:hint="eastAsia"/>
                <w:color w:val="auto"/>
                <w:szCs w:val="21"/>
              </w:rPr>
              <w:t>安徽省地方金融监督管理局备案的融资担保机构出具的无条件担保。</w:t>
            </w:r>
          </w:p>
          <w:p>
            <w:pPr>
              <w:snapToGrid w:val="0"/>
              <w:rPr>
                <w:rFonts w:hint="eastAsia"/>
                <w:color w:val="auto"/>
                <w:szCs w:val="21"/>
              </w:rPr>
            </w:pPr>
            <w:r>
              <w:rPr>
                <w:rFonts w:hint="eastAsia"/>
                <w:color w:val="auto"/>
                <w:szCs w:val="21"/>
              </w:rPr>
              <w:t>（5）担保提交：中标人应在签订合同前向招标人提交履约担保，否则，招标</w:t>
            </w:r>
            <w:r>
              <w:rPr>
                <w:rFonts w:hint="eastAsia" w:eastAsia="宋体"/>
                <w:color w:val="auto"/>
                <w:szCs w:val="21"/>
                <w:lang w:eastAsia="zh-CN"/>
              </w:rPr>
              <w:t>人有权取消中标资格</w:t>
            </w:r>
            <w:r>
              <w:rPr>
                <w:rFonts w:hint="eastAsia"/>
                <w:color w:val="auto"/>
                <w:szCs w:val="21"/>
              </w:rPr>
              <w:t>。</w:t>
            </w:r>
          </w:p>
          <w:p>
            <w:pPr>
              <w:snapToGrid w:val="0"/>
              <w:rPr>
                <w:rFonts w:hint="eastAsia"/>
                <w:color w:val="auto"/>
                <w:szCs w:val="21"/>
              </w:rPr>
            </w:pPr>
            <w:r>
              <w:rPr>
                <w:rFonts w:hint="eastAsia"/>
                <w:color w:val="auto"/>
                <w:szCs w:val="21"/>
              </w:rPr>
              <w:t>（6）履约保证金账户：</w:t>
            </w:r>
          </w:p>
          <w:p>
            <w:pPr>
              <w:snapToGrid w:val="0"/>
              <w:rPr>
                <w:rFonts w:hint="default" w:eastAsia="宋体"/>
                <w:color w:val="auto"/>
                <w:szCs w:val="21"/>
                <w:lang w:val="en-US" w:eastAsia="zh-CN"/>
              </w:rPr>
            </w:pPr>
            <w:r>
              <w:rPr>
                <w:rFonts w:hint="eastAsia"/>
                <w:color w:val="auto"/>
                <w:szCs w:val="21"/>
              </w:rPr>
              <w:t>□账户名称：</w:t>
            </w:r>
            <w:r>
              <w:rPr>
                <w:rFonts w:hint="eastAsia" w:eastAsia="宋体"/>
                <w:color w:val="auto"/>
                <w:szCs w:val="21"/>
                <w:lang w:eastAsia="zh-CN"/>
              </w:rPr>
              <w:t>长丰</w:t>
            </w:r>
            <w:r>
              <w:rPr>
                <w:rFonts w:hint="eastAsia" w:eastAsia="宋体"/>
                <w:color w:val="auto"/>
                <w:szCs w:val="21"/>
                <w:lang w:val="en-US" w:eastAsia="zh-CN"/>
              </w:rPr>
              <w:t>供水集团有限公司</w:t>
            </w:r>
          </w:p>
          <w:p>
            <w:pPr>
              <w:snapToGrid w:val="0"/>
              <w:rPr>
                <w:rFonts w:hint="eastAsia" w:eastAsia="宋体"/>
                <w:color w:val="auto"/>
                <w:szCs w:val="21"/>
                <w:lang w:eastAsia="zh-CN"/>
              </w:rPr>
            </w:pPr>
            <w:r>
              <w:rPr>
                <w:rFonts w:hint="eastAsia"/>
                <w:color w:val="auto"/>
                <w:szCs w:val="21"/>
              </w:rPr>
              <w:t xml:space="preserve">  账号：</w:t>
            </w:r>
            <w:r>
              <w:rPr>
                <w:rFonts w:hint="eastAsia" w:eastAsia="宋体"/>
                <w:color w:val="auto"/>
                <w:szCs w:val="21"/>
                <w:lang w:eastAsia="zh-CN"/>
              </w:rPr>
              <w:t>中国工商银行长丰县支行</w:t>
            </w:r>
          </w:p>
          <w:p>
            <w:pPr>
              <w:snapToGrid w:val="0"/>
              <w:rPr>
                <w:rFonts w:hint="eastAsia" w:eastAsia="宋体"/>
                <w:color w:val="auto"/>
                <w:szCs w:val="21"/>
                <w:lang w:val="en-US" w:eastAsia="zh-CN"/>
              </w:rPr>
            </w:pPr>
            <w:r>
              <w:rPr>
                <w:rFonts w:hint="eastAsia"/>
                <w:color w:val="auto"/>
                <w:szCs w:val="21"/>
              </w:rPr>
              <w:t>开户银行：</w:t>
            </w:r>
            <w:r>
              <w:rPr>
                <w:rFonts w:hint="eastAsia" w:eastAsia="宋体"/>
                <w:color w:val="auto"/>
                <w:szCs w:val="21"/>
                <w:lang w:val="en-US" w:eastAsia="zh-CN"/>
              </w:rPr>
              <w:t>1302002109000047817</w:t>
            </w:r>
          </w:p>
          <w:p>
            <w:pPr>
              <w:snapToGrid w:val="0"/>
            </w:pPr>
            <w:r>
              <w:rPr>
                <w:rFonts w:hint="eastAsia" w:ascii="MS Gothic" w:hAnsi="MS Gothic" w:eastAsia="宋体" w:cs="MS Gothic"/>
                <w:b/>
                <w:bCs/>
                <w:color w:val="000000"/>
                <w:lang w:eastAsia="zh-CN"/>
              </w:rPr>
              <w:t>□</w:t>
            </w:r>
            <w:r>
              <w:rPr>
                <w:rFonts w:hint="eastAsia"/>
                <w:b/>
                <w:bCs/>
                <w:szCs w:val="21"/>
              </w:rPr>
              <w:t>履约保证金的缴纳账户、账户、开户行等信息待确定中标人后由招标人自行提供给中标人。</w:t>
            </w:r>
          </w:p>
          <w:p>
            <w:pPr>
              <w:pStyle w:val="14"/>
              <w:ind w:left="0" w:leftChars="0" w:firstLine="0"/>
              <w:rPr>
                <w:rFonts w:hint="eastAsia"/>
              </w:rPr>
            </w:pPr>
            <w:r>
              <w:rPr>
                <w:rFonts w:hint="eastAsia"/>
              </w:rPr>
              <w:t>（7）注意事项：以上各类机构出具的以担保函、保证保险承担责任的方式均须满足无条件见索即付条件。</w:t>
            </w:r>
          </w:p>
        </w:tc>
      </w:tr>
      <w:tr>
        <w:tblPrEx>
          <w:tblCellMar>
            <w:top w:w="0" w:type="dxa"/>
            <w:left w:w="108" w:type="dxa"/>
            <w:bottom w:w="0" w:type="dxa"/>
            <w:right w:w="108" w:type="dxa"/>
          </w:tblCellMar>
        </w:tblPrEx>
        <w:trPr>
          <w:trHeight w:val="349" w:hRule="atLeast"/>
        </w:trPr>
        <w:tc>
          <w:tcPr>
            <w:tcW w:w="946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olor w:val="000000"/>
                <w:sz w:val="32"/>
              </w:rPr>
            </w:pPr>
            <w:r>
              <w:rPr>
                <w:rFonts w:ascii="宋体" w:hAnsi="宋体"/>
                <w:color w:val="000000"/>
              </w:rPr>
              <w:t>10</w:t>
            </w:r>
            <w:r>
              <w:rPr>
                <w:rFonts w:hint="eastAsia" w:ascii="宋体" w:hAnsi="宋体"/>
              </w:rPr>
              <w:t>．需要补充的其他内容</w:t>
            </w:r>
          </w:p>
        </w:tc>
      </w:tr>
      <w:tr>
        <w:tblPrEx>
          <w:tblCellMar>
            <w:top w:w="0" w:type="dxa"/>
            <w:left w:w="108" w:type="dxa"/>
            <w:bottom w:w="0" w:type="dxa"/>
            <w:right w:w="108" w:type="dxa"/>
          </w:tblCellMar>
        </w:tblPrEx>
        <w:trPr>
          <w:trHeight w:val="468" w:hRule="atLeast"/>
        </w:trPr>
        <w:tc>
          <w:tcPr>
            <w:tcW w:w="9464"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olor w:val="000000"/>
              </w:rPr>
            </w:pPr>
            <w:r>
              <w:rPr>
                <w:rFonts w:hint="eastAsia" w:ascii="Times New Roman" w:hAnsi="Times New Roman"/>
                <w:color w:val="000000"/>
              </w:rPr>
              <w:t>10.1</w:t>
            </w:r>
            <w:r>
              <w:rPr>
                <w:rFonts w:hint="eastAsia" w:ascii="Times New Roman" w:hAnsi="Times New Roman"/>
                <w:bCs/>
                <w:snapToGrid w:val="0"/>
                <w:color w:val="000000"/>
                <w:kern w:val="0"/>
                <w:szCs w:val="21"/>
              </w:rPr>
              <w:t xml:space="preserve"> 招标文件获取与通知</w:t>
            </w:r>
          </w:p>
        </w:tc>
      </w:tr>
      <w:tr>
        <w:tblPrEx>
          <w:tblCellMar>
            <w:top w:w="0" w:type="dxa"/>
            <w:left w:w="108" w:type="dxa"/>
            <w:bottom w:w="0" w:type="dxa"/>
            <w:right w:w="108" w:type="dxa"/>
          </w:tblCellMar>
        </w:tblPrEx>
        <w:trPr>
          <w:trHeight w:val="511"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4"/>
              <w:jc w:val="center"/>
              <w:rPr>
                <w:rFonts w:hint="eastAsia" w:ascii="楷体" w:hAnsi="楷体" w:eastAsia="楷体"/>
                <w:bCs/>
                <w:snapToGrid w:val="0"/>
                <w:color w:val="0000FF"/>
                <w:kern w:val="0"/>
                <w:szCs w:val="21"/>
              </w:rPr>
            </w:pPr>
            <w:r>
              <w:rPr>
                <w:rFonts w:hint="eastAsia" w:ascii="Times New Roman" w:hAnsi="Times New Roman"/>
                <w:color w:val="000000"/>
              </w:rPr>
              <w:t>10.1.1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楷体" w:hAnsi="楷体" w:eastAsia="楷体"/>
                <w:bCs/>
                <w:snapToGrid w:val="0"/>
                <w:color w:val="FF0000"/>
                <w:kern w:val="0"/>
                <w:szCs w:val="21"/>
              </w:rPr>
            </w:pPr>
            <w:r>
              <w:rPr>
                <w:rFonts w:ascii="Times New Roman" w:hAnsi="Times New Roman"/>
                <w:bCs/>
                <w:snapToGrid w:val="0"/>
                <w:color w:val="000000"/>
                <w:kern w:val="0"/>
                <w:szCs w:val="21"/>
              </w:rPr>
              <w:t>图纸获取说明</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投标人应当及时登录</w:t>
            </w:r>
            <w:r>
              <w:rPr>
                <w:rFonts w:hint="eastAsia" w:ascii="Times New Roman" w:hAnsi="Times New Roman" w:eastAsia="宋体"/>
                <w:bCs/>
                <w:snapToGrid w:val="0"/>
                <w:color w:val="000000"/>
                <w:kern w:val="0"/>
                <w:szCs w:val="21"/>
                <w:lang w:eastAsia="zh-CN"/>
              </w:rPr>
              <w:t>长丰供水集团官网</w:t>
            </w:r>
            <w:r>
              <w:rPr>
                <w:rFonts w:hint="eastAsia" w:ascii="Times New Roman" w:hAnsi="Times New Roman"/>
                <w:bCs/>
                <w:snapToGrid w:val="0"/>
                <w:color w:val="000000"/>
                <w:kern w:val="0"/>
                <w:szCs w:val="21"/>
              </w:rPr>
              <w:t>查看（如有）。</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4"/>
              <w:jc w:val="center"/>
              <w:rPr>
                <w:rFonts w:hint="eastAsia" w:ascii="Times New Roman" w:hAnsi="Times New Roman"/>
                <w:color w:val="000000"/>
              </w:rPr>
            </w:pPr>
            <w:r>
              <w:rPr>
                <w:rFonts w:hint="eastAsia" w:ascii="Times New Roman" w:hAnsi="Times New Roman"/>
                <w:color w:val="000000"/>
              </w:rPr>
              <w:t>10.1.2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楷体" w:hAnsi="楷体" w:eastAsia="楷体"/>
                <w:bCs/>
                <w:snapToGrid w:val="0"/>
                <w:color w:val="0000FF"/>
                <w:kern w:val="0"/>
                <w:szCs w:val="21"/>
              </w:rPr>
            </w:pPr>
            <w:r>
              <w:rPr>
                <w:rFonts w:hint="eastAsia" w:ascii="Times New Roman" w:hAnsi="Times New Roman"/>
                <w:bCs/>
                <w:snapToGrid w:val="0"/>
                <w:color w:val="000000"/>
                <w:kern w:val="0"/>
                <w:szCs w:val="21"/>
              </w:rPr>
              <w:t>获取与查看通知</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本项目的招标文件、最高投标限价（招标控制价）、澄清及修改等相关资料均通过</w:t>
            </w:r>
            <w:r>
              <w:rPr>
                <w:rFonts w:hint="eastAsia" w:ascii="Times New Roman" w:hAnsi="Times New Roman" w:eastAsia="宋体"/>
                <w:bCs/>
                <w:snapToGrid w:val="0"/>
                <w:color w:val="000000"/>
                <w:kern w:val="0"/>
                <w:szCs w:val="21"/>
                <w:lang w:eastAsia="zh-CN"/>
              </w:rPr>
              <w:t>长丰供水集团官网</w:t>
            </w:r>
            <w:r>
              <w:rPr>
                <w:rFonts w:hint="eastAsia" w:ascii="Times New Roman" w:hAnsi="Times New Roman"/>
                <w:bCs/>
                <w:snapToGrid w:val="0"/>
                <w:color w:val="000000"/>
                <w:kern w:val="0"/>
                <w:szCs w:val="21"/>
              </w:rPr>
              <w:t>发布，投标人应自行下载。投标人应当及时登录</w:t>
            </w:r>
            <w:r>
              <w:rPr>
                <w:rFonts w:hint="eastAsia" w:ascii="Times New Roman" w:hAnsi="Times New Roman" w:eastAsia="宋体"/>
                <w:bCs/>
                <w:snapToGrid w:val="0"/>
                <w:color w:val="000000"/>
                <w:kern w:val="0"/>
                <w:szCs w:val="21"/>
                <w:lang w:eastAsia="zh-CN"/>
              </w:rPr>
              <w:t>长丰供水集团官网</w:t>
            </w:r>
            <w:r>
              <w:rPr>
                <w:rFonts w:hint="eastAsia" w:ascii="Times New Roman" w:hAnsi="Times New Roman"/>
                <w:bCs/>
                <w:snapToGrid w:val="0"/>
                <w:color w:val="000000"/>
                <w:kern w:val="0"/>
                <w:szCs w:val="21"/>
              </w:rPr>
              <w:t>查看。</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4"/>
              <w:jc w:val="center"/>
              <w:rPr>
                <w:rFonts w:hint="eastAsia" w:ascii="Times New Roman" w:hAnsi="Times New Roman"/>
                <w:color w:val="000000"/>
              </w:rPr>
            </w:pPr>
            <w:r>
              <w:rPr>
                <w:rFonts w:hint="eastAsia" w:ascii="Times New Roman" w:hAnsi="Times New Roman"/>
                <w:color w:val="000000"/>
              </w:rPr>
              <w:t>10.1.3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楷体" w:hAnsi="楷体" w:eastAsia="楷体"/>
                <w:bCs/>
                <w:snapToGrid w:val="0"/>
                <w:color w:val="0000FF"/>
                <w:kern w:val="0"/>
                <w:szCs w:val="21"/>
              </w:rPr>
            </w:pPr>
            <w:r>
              <w:rPr>
                <w:rFonts w:hint="eastAsia" w:ascii="Times New Roman" w:hAnsi="Times New Roman"/>
                <w:bCs/>
                <w:snapToGrid w:val="0"/>
                <w:color w:val="000000"/>
                <w:kern w:val="0"/>
                <w:szCs w:val="21"/>
              </w:rPr>
              <w:t>招标</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bCs/>
                <w:snapToGrid w:val="0"/>
                <w:color w:val="000000"/>
                <w:kern w:val="0"/>
                <w:szCs w:val="21"/>
              </w:rPr>
            </w:pPr>
            <w:r>
              <w:rPr>
                <w:rFonts w:ascii="Times New Roman" w:hAnsi="Times New Roman"/>
                <w:bCs/>
                <w:snapToGrid w:val="0"/>
                <w:color w:val="000000"/>
                <w:kern w:val="0"/>
                <w:szCs w:val="21"/>
              </w:rPr>
              <w:t>本项目采用招标投标方式，除招标文件另有规定外，招标投标操作要求详见本章附件</w:t>
            </w:r>
            <w:r>
              <w:rPr>
                <w:rFonts w:hint="eastAsia" w:ascii="Times New Roman" w:hAnsi="Times New Roman"/>
                <w:bCs/>
                <w:snapToGrid w:val="0"/>
                <w:color w:val="000000"/>
                <w:kern w:val="0"/>
                <w:szCs w:val="21"/>
              </w:rPr>
              <w:t>《合肥市公共资源交易招标投标操作规程》。</w:t>
            </w:r>
          </w:p>
        </w:tc>
      </w:tr>
      <w:tr>
        <w:tblPrEx>
          <w:tblCellMar>
            <w:top w:w="0" w:type="dxa"/>
            <w:left w:w="108" w:type="dxa"/>
            <w:bottom w:w="0" w:type="dxa"/>
            <w:right w:w="108" w:type="dxa"/>
          </w:tblCellMar>
        </w:tblPrEx>
        <w:trPr>
          <w:trHeight w:val="535" w:hRule="atLeast"/>
        </w:trPr>
        <w:tc>
          <w:tcPr>
            <w:tcW w:w="946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240" w:after="60" w:line="420" w:lineRule="atLeast"/>
              <w:textAlignment w:val="baseline"/>
              <w:outlineLvl w:val="0"/>
              <w:rPr>
                <w:rFonts w:ascii="Times New Roman" w:hAnsi="Times New Roman"/>
                <w:bCs/>
                <w:snapToGrid w:val="0"/>
                <w:color w:val="000000"/>
                <w:kern w:val="0"/>
                <w:szCs w:val="21"/>
              </w:rPr>
            </w:pPr>
            <w:r>
              <w:rPr>
                <w:rFonts w:ascii="Times New Roman" w:hAnsi="Times New Roman"/>
                <w:bCs/>
                <w:snapToGrid w:val="0"/>
                <w:color w:val="000000"/>
                <w:kern w:val="0"/>
                <w:szCs w:val="21"/>
              </w:rPr>
              <w:t xml:space="preserve">10.2 </w:t>
            </w:r>
            <w:r>
              <w:rPr>
                <w:rFonts w:hint="eastAsia" w:ascii="Times New Roman" w:hAnsi="Times New Roman"/>
                <w:bCs/>
                <w:snapToGrid w:val="0"/>
                <w:color w:val="000000"/>
                <w:kern w:val="0"/>
                <w:szCs w:val="21"/>
              </w:rPr>
              <w:t>投标文件的编制要求</w:t>
            </w:r>
          </w:p>
        </w:tc>
      </w:tr>
      <w:tr>
        <w:tblPrEx>
          <w:tblCellMar>
            <w:top w:w="0" w:type="dxa"/>
            <w:left w:w="108" w:type="dxa"/>
            <w:bottom w:w="0" w:type="dxa"/>
            <w:right w:w="108" w:type="dxa"/>
          </w:tblCellMar>
        </w:tblPrEx>
        <w:trPr>
          <w:trHeight w:val="394"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ascii="Times New Roman" w:hAnsi="Times New Roman"/>
                <w:bCs/>
                <w:snapToGrid w:val="0"/>
                <w:color w:val="000000"/>
                <w:kern w:val="0"/>
                <w:szCs w:val="21"/>
              </w:rPr>
              <w:t>10.2.1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adjustRightInd w:val="0"/>
              <w:spacing w:before="240" w:after="60" w:line="440" w:lineRule="exact"/>
              <w:jc w:val="center"/>
              <w:textAlignment w:val="baseline"/>
              <w:outlineLvl w:val="0"/>
              <w:rPr>
                <w:rFonts w:ascii="楷体" w:hAnsi="楷体" w:eastAsia="楷体"/>
                <w:bCs/>
                <w:snapToGrid w:val="0"/>
                <w:color w:val="0000FF"/>
                <w:kern w:val="0"/>
                <w:szCs w:val="21"/>
              </w:rPr>
            </w:pPr>
            <w:r>
              <w:rPr>
                <w:rFonts w:hint="eastAsia" w:ascii="Times New Roman" w:hAnsi="Times New Roman"/>
                <w:bCs/>
                <w:snapToGrid w:val="0"/>
                <w:color w:val="000000"/>
                <w:kern w:val="0"/>
                <w:szCs w:val="21"/>
              </w:rPr>
              <w:t>投标所需资料</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Times New Roman" w:hAnsi="Times New Roman"/>
                <w:bCs/>
                <w:snapToGrid w:val="0"/>
                <w:color w:val="auto"/>
                <w:kern w:val="0"/>
                <w:szCs w:val="21"/>
              </w:rPr>
            </w:pPr>
            <w:r>
              <w:rPr>
                <w:rFonts w:hint="eastAsia" w:ascii="Times New Roman" w:hAnsi="Times New Roman"/>
                <w:bCs/>
                <w:snapToGrid w:val="0"/>
                <w:color w:val="000000"/>
                <w:kern w:val="0"/>
                <w:szCs w:val="21"/>
              </w:rPr>
              <w:t>（1）对于编制投标文件时所需的资料，由投标人</w:t>
            </w:r>
            <w:r>
              <w:rPr>
                <w:rFonts w:hint="eastAsia" w:ascii="Times New Roman" w:hAnsi="Times New Roman" w:eastAsia="宋体"/>
                <w:bCs/>
                <w:snapToGrid w:val="0"/>
                <w:color w:val="000000"/>
                <w:kern w:val="0"/>
                <w:szCs w:val="21"/>
                <w:lang w:eastAsia="zh-CN"/>
              </w:rPr>
              <w:t>提交</w:t>
            </w:r>
            <w:r>
              <w:rPr>
                <w:rFonts w:hint="eastAsia" w:ascii="Times New Roman" w:hAnsi="Times New Roman" w:eastAsia="宋体"/>
                <w:bCs/>
                <w:snapToGrid w:val="0"/>
                <w:color w:val="000000"/>
                <w:kern w:val="0"/>
                <w:szCs w:val="21"/>
                <w:lang w:val="en-US" w:eastAsia="zh-CN"/>
              </w:rPr>
              <w:t>5份</w:t>
            </w:r>
            <w:r>
              <w:rPr>
                <w:rFonts w:hint="eastAsia" w:ascii="Times New Roman" w:hAnsi="Times New Roman" w:eastAsia="宋体"/>
                <w:bCs/>
                <w:snapToGrid w:val="0"/>
                <w:color w:val="000000"/>
                <w:kern w:val="0"/>
                <w:szCs w:val="21"/>
                <w:lang w:eastAsia="zh-CN"/>
              </w:rPr>
              <w:t>纸质版文件</w:t>
            </w:r>
            <w:r>
              <w:rPr>
                <w:rFonts w:hint="eastAsia" w:ascii="Times New Roman" w:hAnsi="Times New Roman"/>
                <w:bCs/>
                <w:snapToGrid w:val="0"/>
                <w:color w:val="000000"/>
                <w:kern w:val="0"/>
                <w:szCs w:val="21"/>
              </w:rPr>
              <w:t>。（2）投标人应及时查看</w:t>
            </w:r>
            <w:r>
              <w:rPr>
                <w:rFonts w:hint="eastAsia" w:ascii="Times New Roman" w:hAnsi="Times New Roman" w:eastAsia="宋体"/>
                <w:bCs/>
                <w:snapToGrid w:val="0"/>
                <w:color w:val="000000"/>
                <w:kern w:val="0"/>
                <w:szCs w:val="21"/>
                <w:lang w:eastAsia="zh-CN"/>
              </w:rPr>
              <w:t>提供</w:t>
            </w:r>
            <w:r>
              <w:rPr>
                <w:rFonts w:hint="eastAsia" w:ascii="Times New Roman" w:hAnsi="Times New Roman"/>
                <w:bCs/>
                <w:snapToGrid w:val="0"/>
                <w:color w:val="000000"/>
                <w:kern w:val="0"/>
                <w:szCs w:val="21"/>
              </w:rPr>
              <w:t>的相关资料，如出现</w:t>
            </w:r>
            <w:r>
              <w:rPr>
                <w:rFonts w:hint="eastAsia" w:ascii="Times New Roman" w:hAnsi="Times New Roman" w:eastAsia="宋体"/>
                <w:bCs/>
                <w:snapToGrid w:val="0"/>
                <w:color w:val="000000"/>
                <w:kern w:val="0"/>
                <w:szCs w:val="21"/>
                <w:lang w:eastAsia="zh-CN"/>
              </w:rPr>
              <w:t>提供</w:t>
            </w:r>
            <w:r>
              <w:rPr>
                <w:rFonts w:hint="eastAsia" w:ascii="Times New Roman" w:hAnsi="Times New Roman"/>
                <w:bCs/>
                <w:snapToGrid w:val="0"/>
                <w:color w:val="000000"/>
                <w:kern w:val="0"/>
                <w:szCs w:val="21"/>
              </w:rPr>
              <w:t>的相应投标资料不全、模糊不清、超出有效期等情况，评标委员会将作出对投标人不利的认定，由此产生的一切后果由投标</w:t>
            </w:r>
            <w:r>
              <w:rPr>
                <w:rFonts w:hint="eastAsia" w:ascii="Times New Roman" w:hAnsi="Times New Roman"/>
                <w:bCs/>
                <w:snapToGrid w:val="0"/>
                <w:color w:val="auto"/>
                <w:kern w:val="0"/>
                <w:szCs w:val="21"/>
              </w:rPr>
              <w:t>人自行承担。</w:t>
            </w:r>
          </w:p>
          <w:p>
            <w:pPr>
              <w:widowControl/>
              <w:snapToGrid w:val="0"/>
              <w:jc w:val="left"/>
              <w:rPr>
                <w:rFonts w:hint="eastAsia" w:ascii="Times New Roman" w:hAnsi="Times New Roman" w:eastAsia="宋体"/>
                <w:bCs/>
                <w:snapToGrid w:val="0"/>
                <w:color w:val="auto"/>
                <w:kern w:val="0"/>
                <w:szCs w:val="21"/>
                <w:lang w:eastAsia="zh-CN"/>
              </w:rPr>
            </w:pPr>
            <w:r>
              <w:rPr>
                <w:rFonts w:hint="eastAsia" w:ascii="Times New Roman" w:hAnsi="Times New Roman"/>
                <w:bCs/>
                <w:snapToGrid w:val="0"/>
                <w:color w:val="auto"/>
                <w:kern w:val="0"/>
                <w:szCs w:val="21"/>
              </w:rPr>
              <w:t>（3）投标人制作投标文件时可选择以下内容（以下为列举，根据项目实际要求挑选）：</w:t>
            </w:r>
            <w:r>
              <w:rPr>
                <w:rFonts w:hint="eastAsia" w:ascii="Times New Roman" w:hAnsi="Times New Roman" w:eastAsia="宋体"/>
                <w:bCs/>
                <w:snapToGrid w:val="0"/>
                <w:color w:val="auto"/>
                <w:kern w:val="0"/>
                <w:szCs w:val="21"/>
                <w:lang w:eastAsia="zh-CN"/>
              </w:rPr>
              <w:t>具体详见评标办法</w:t>
            </w:r>
          </w:p>
          <w:p>
            <w:pPr>
              <w:widowControl/>
              <w:snapToGrid w:val="0"/>
              <w:jc w:val="left"/>
              <w:rPr>
                <w:rFonts w:hint="eastAsia" w:ascii="Times New Roman" w:hAnsi="Times New Roman"/>
                <w:bCs/>
                <w:snapToGrid w:val="0"/>
                <w:color w:val="auto"/>
                <w:kern w:val="0"/>
                <w:szCs w:val="21"/>
              </w:rPr>
            </w:pPr>
            <w:r>
              <w:rPr>
                <w:rFonts w:hint="eastAsia" w:ascii="Times New Roman" w:hAnsi="Times New Roman"/>
                <w:bCs/>
                <w:snapToGrid w:val="0"/>
                <w:color w:val="auto"/>
                <w:kern w:val="0"/>
                <w:szCs w:val="21"/>
              </w:rPr>
              <w:t>①投标人各类证件信息：营业执照、事业单位法人证书、资质证书、基本账户开户证明、法定代表人身份证等；</w:t>
            </w:r>
          </w:p>
          <w:p>
            <w:pPr>
              <w:widowControl/>
              <w:snapToGrid w:val="0"/>
              <w:jc w:val="left"/>
              <w:rPr>
                <w:rFonts w:hint="eastAsia" w:ascii="Times New Roman" w:hAnsi="Times New Roman"/>
                <w:bCs/>
                <w:snapToGrid w:val="0"/>
                <w:color w:val="auto"/>
                <w:kern w:val="0"/>
                <w:szCs w:val="21"/>
              </w:rPr>
            </w:pPr>
            <w:r>
              <w:rPr>
                <w:rFonts w:hint="eastAsia" w:ascii="Times New Roman" w:hAnsi="Times New Roman"/>
                <w:bCs/>
                <w:snapToGrid w:val="0"/>
                <w:color w:val="auto"/>
                <w:kern w:val="0"/>
                <w:szCs w:val="21"/>
              </w:rPr>
              <w:t>②投标人、制造商业绩扫描件；</w:t>
            </w:r>
          </w:p>
          <w:p>
            <w:pPr>
              <w:widowControl/>
              <w:snapToGrid w:val="0"/>
              <w:jc w:val="left"/>
              <w:rPr>
                <w:rFonts w:hint="eastAsia" w:ascii="Times New Roman" w:hAnsi="Times New Roman"/>
                <w:bCs/>
                <w:snapToGrid w:val="0"/>
                <w:color w:val="auto"/>
                <w:kern w:val="0"/>
                <w:szCs w:val="21"/>
              </w:rPr>
            </w:pPr>
            <w:r>
              <w:rPr>
                <w:rFonts w:hint="eastAsia" w:ascii="Times New Roman" w:hAnsi="Times New Roman"/>
                <w:bCs/>
                <w:snapToGrid w:val="0"/>
                <w:color w:val="auto"/>
                <w:kern w:val="0"/>
                <w:szCs w:val="21"/>
              </w:rPr>
              <w:t>③主要管理人员和技术人员各类证件信息：技术职称证书等；</w:t>
            </w:r>
          </w:p>
          <w:p>
            <w:pPr>
              <w:widowControl/>
              <w:snapToGrid w:val="0"/>
              <w:jc w:val="left"/>
              <w:rPr>
                <w:rFonts w:ascii="Times New Roman" w:hAnsi="Times New Roman"/>
                <w:bCs/>
                <w:snapToGrid w:val="0"/>
                <w:color w:val="auto"/>
                <w:kern w:val="0"/>
                <w:szCs w:val="21"/>
              </w:rPr>
            </w:pPr>
            <w:r>
              <w:rPr>
                <w:rFonts w:hint="eastAsia" w:ascii="Times New Roman" w:hAnsi="Times New Roman"/>
                <w:bCs/>
                <w:snapToGrid w:val="0"/>
                <w:color w:val="auto"/>
                <w:kern w:val="0"/>
                <w:szCs w:val="21"/>
              </w:rPr>
              <w:t>④技术能力、奖项、荣誉等；</w:t>
            </w:r>
          </w:p>
          <w:p>
            <w:pPr>
              <w:widowControl/>
              <w:snapToGrid w:val="0"/>
              <w:jc w:val="left"/>
              <w:rPr>
                <w:rFonts w:hint="eastAsia" w:ascii="Times New Roman" w:hAnsi="Times New Roman"/>
                <w:bCs/>
                <w:snapToGrid w:val="0"/>
                <w:color w:val="auto"/>
                <w:kern w:val="0"/>
                <w:szCs w:val="21"/>
              </w:rPr>
            </w:pPr>
            <w:r>
              <w:rPr>
                <w:rFonts w:hint="eastAsia" w:ascii="Times New Roman" w:hAnsi="Times New Roman"/>
                <w:bCs/>
                <w:snapToGrid w:val="0"/>
                <w:color w:val="auto"/>
                <w:kern w:val="0"/>
                <w:szCs w:val="21"/>
              </w:rPr>
              <w:t>（4）对于编制投标文件时所需的其他资料，如财务会计报表、制作商授权书、买方出具的证明、委托代理人身份证、投标保证金银行保函、联合体协议书及非联合体牵头人相应需要提供的表格和资料（如采用）等，投标人自行扫描后通过“其他材料”窗口</w:t>
            </w:r>
            <w:r>
              <w:rPr>
                <w:rFonts w:hint="eastAsia" w:ascii="Times New Roman" w:hAnsi="Times New Roman" w:eastAsia="宋体"/>
                <w:bCs/>
                <w:snapToGrid w:val="0"/>
                <w:color w:val="auto"/>
                <w:kern w:val="0"/>
                <w:szCs w:val="21"/>
                <w:lang w:eastAsia="zh-CN"/>
              </w:rPr>
              <w:t>提供</w:t>
            </w:r>
            <w:r>
              <w:rPr>
                <w:rFonts w:hint="eastAsia" w:ascii="Times New Roman" w:hAnsi="Times New Roman"/>
                <w:bCs/>
                <w:snapToGrid w:val="0"/>
                <w:color w:val="auto"/>
                <w:kern w:val="0"/>
                <w:szCs w:val="21"/>
              </w:rPr>
              <w:t>。</w:t>
            </w:r>
          </w:p>
          <w:p>
            <w:pPr>
              <w:spacing w:line="276" w:lineRule="auto"/>
              <w:rPr>
                <w:rFonts w:ascii="Times New Roman" w:hAnsi="Times New Roman"/>
                <w:bCs/>
                <w:snapToGrid w:val="0"/>
                <w:color w:val="000000"/>
                <w:kern w:val="0"/>
                <w:szCs w:val="21"/>
              </w:rPr>
            </w:pPr>
            <w:r>
              <w:rPr>
                <w:rFonts w:hint="eastAsia" w:ascii="Times New Roman" w:hAnsi="Times New Roman"/>
                <w:bCs/>
                <w:snapToGrid w:val="0"/>
                <w:color w:val="auto"/>
                <w:kern w:val="0"/>
                <w:szCs w:val="21"/>
              </w:rPr>
              <w:t>（5）以上资料具体以第三章“评标办法”和第六章“投标文件格式”要求为准。</w:t>
            </w:r>
          </w:p>
        </w:tc>
      </w:tr>
      <w:tr>
        <w:tblPrEx>
          <w:tblCellMar>
            <w:top w:w="0" w:type="dxa"/>
            <w:left w:w="108" w:type="dxa"/>
            <w:bottom w:w="0" w:type="dxa"/>
            <w:right w:w="108" w:type="dxa"/>
          </w:tblCellMar>
        </w:tblPrEx>
        <w:trPr>
          <w:trHeight w:val="555"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ascii="Times New Roman" w:hAnsi="Times New Roman"/>
                <w:bCs/>
                <w:snapToGrid w:val="0"/>
                <w:color w:val="000000"/>
                <w:kern w:val="0"/>
                <w:szCs w:val="21"/>
              </w:rPr>
              <w:t>10.2.2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相关政策要求</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Times New Roman" w:hAnsi="Times New Roman"/>
                <w:bCs/>
                <w:snapToGrid w:val="0"/>
                <w:color w:val="000000"/>
                <w:kern w:val="0"/>
                <w:szCs w:val="21"/>
              </w:rPr>
            </w:pPr>
            <w:r>
              <w:rPr>
                <w:rFonts w:hint="eastAsia" w:ascii="Times New Roman" w:hAnsi="Times New Roman"/>
                <w:bCs/>
                <w:snapToGrid w:val="0"/>
                <w:kern w:val="0"/>
                <w:szCs w:val="21"/>
              </w:rPr>
              <w:t>/</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 w:hAnsi="楷体" w:eastAsia="楷体"/>
                <w:bCs/>
                <w:snapToGrid w:val="0"/>
                <w:color w:val="0000FF"/>
                <w:kern w:val="0"/>
                <w:szCs w:val="21"/>
              </w:rPr>
            </w:pPr>
            <w:r>
              <w:rPr>
                <w:rFonts w:hint="eastAsia" w:ascii="Times New Roman" w:hAnsi="Times New Roman"/>
                <w:bCs/>
                <w:snapToGrid w:val="0"/>
                <w:color w:val="000000"/>
                <w:kern w:val="0"/>
                <w:szCs w:val="21"/>
              </w:rPr>
              <w:t>10.3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 w:hAnsi="楷体" w:eastAsia="楷体"/>
                <w:bCs/>
                <w:snapToGrid w:val="0"/>
                <w:color w:val="0000FF"/>
                <w:kern w:val="0"/>
                <w:szCs w:val="21"/>
              </w:rPr>
            </w:pPr>
            <w:r>
              <w:rPr>
                <w:rFonts w:hint="eastAsia" w:ascii="Times New Roman" w:hAnsi="Times New Roman"/>
                <w:bCs/>
                <w:snapToGrid w:val="0"/>
                <w:color w:val="000000"/>
                <w:kern w:val="0"/>
                <w:szCs w:val="21"/>
              </w:rPr>
              <w:t>评标过程中的澄清、说明或补正</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bCs/>
                <w:snapToGrid w:val="0"/>
                <w:color w:val="000000"/>
                <w:kern w:val="0"/>
                <w:szCs w:val="21"/>
              </w:rPr>
            </w:pPr>
            <w:r>
              <w:rPr>
                <w:rFonts w:hint="eastAsia" w:ascii="Times New Roman" w:hAnsi="Times New Roman" w:cs="楷体"/>
                <w:bCs/>
                <w:snapToGrid w:val="0"/>
                <w:color w:val="000000"/>
                <w:kern w:val="0"/>
                <w:szCs w:val="21"/>
              </w:rPr>
              <w:t>（1）评标委员会</w:t>
            </w:r>
            <w:r>
              <w:rPr>
                <w:rFonts w:hint="eastAsia" w:ascii="Times New Roman" w:hAnsi="Times New Roman"/>
                <w:bCs/>
                <w:snapToGrid w:val="0"/>
                <w:color w:val="000000"/>
                <w:kern w:val="0"/>
                <w:szCs w:val="21"/>
              </w:rPr>
              <w:t>通过</w:t>
            </w:r>
            <w:r>
              <w:rPr>
                <w:rFonts w:hint="eastAsia" w:ascii="Times New Roman" w:hAnsi="Times New Roman" w:eastAsia="宋体"/>
                <w:bCs/>
                <w:snapToGrid w:val="0"/>
                <w:color w:val="000000"/>
                <w:kern w:val="0"/>
                <w:szCs w:val="21"/>
                <w:lang w:eastAsia="zh-CN"/>
              </w:rPr>
              <w:t>招标人</w:t>
            </w:r>
            <w:r>
              <w:rPr>
                <w:rFonts w:hint="eastAsia" w:ascii="Times New Roman" w:hAnsi="Times New Roman"/>
                <w:bCs/>
                <w:snapToGrid w:val="0"/>
                <w:color w:val="000000"/>
                <w:kern w:val="0"/>
                <w:szCs w:val="21"/>
              </w:rPr>
              <w:t>将需要澄清、说明或补正的内容以询标函的形式发送给投标人，投标人应安排专人登录</w:t>
            </w:r>
            <w:r>
              <w:rPr>
                <w:rFonts w:hint="eastAsia" w:ascii="Times New Roman" w:hAnsi="Times New Roman" w:eastAsia="宋体"/>
                <w:bCs/>
                <w:snapToGrid w:val="0"/>
                <w:color w:val="000000"/>
                <w:kern w:val="0"/>
                <w:szCs w:val="21"/>
                <w:lang w:eastAsia="zh-CN"/>
              </w:rPr>
              <w:t>招标人</w:t>
            </w:r>
            <w:r>
              <w:rPr>
                <w:rFonts w:hint="eastAsia" w:ascii="Times New Roman" w:hAnsi="Times New Roman"/>
                <w:bCs/>
                <w:snapToGrid w:val="0"/>
                <w:color w:val="000000"/>
                <w:kern w:val="0"/>
                <w:szCs w:val="21"/>
              </w:rPr>
              <w:t>并保持在线状态，以便及时接收评标委员会可能发出的询标函。</w:t>
            </w:r>
          </w:p>
          <w:p>
            <w:pPr>
              <w:snapToGrid w:val="0"/>
              <w:rPr>
                <w:rFonts w:hint="eastAsia" w:ascii="Times New Roman" w:hAnsi="Times New Roman" w:cs="楷体"/>
                <w:bCs/>
                <w:snapToGrid w:val="0"/>
                <w:color w:val="000000"/>
                <w:kern w:val="0"/>
                <w:szCs w:val="21"/>
              </w:rPr>
            </w:pPr>
            <w:r>
              <w:rPr>
                <w:rFonts w:hint="eastAsia" w:ascii="Times New Roman" w:hAnsi="Times New Roman"/>
                <w:bCs/>
                <w:snapToGrid w:val="0"/>
                <w:color w:val="000000"/>
                <w:kern w:val="0"/>
                <w:szCs w:val="21"/>
              </w:rPr>
              <w:t>（2）因投标人未登录</w:t>
            </w:r>
            <w:r>
              <w:rPr>
                <w:rFonts w:hint="eastAsia" w:ascii="Times New Roman" w:hAnsi="Times New Roman" w:eastAsia="宋体"/>
                <w:bCs/>
                <w:snapToGrid w:val="0"/>
                <w:color w:val="000000"/>
                <w:kern w:val="0"/>
                <w:szCs w:val="21"/>
                <w:lang w:eastAsia="zh-CN"/>
              </w:rPr>
              <w:t>招标人</w:t>
            </w:r>
            <w:r>
              <w:rPr>
                <w:rFonts w:hint="eastAsia" w:ascii="Times New Roman" w:hAnsi="Times New Roman"/>
                <w:bCs/>
                <w:snapToGrid w:val="0"/>
                <w:color w:val="000000"/>
                <w:kern w:val="0"/>
                <w:szCs w:val="21"/>
              </w:rPr>
              <w:t>导致</w:t>
            </w:r>
            <w:r>
              <w:rPr>
                <w:rFonts w:hint="eastAsia" w:ascii="Times New Roman" w:hAnsi="Times New Roman" w:cs="楷体"/>
                <w:bCs/>
                <w:snapToGrid w:val="0"/>
                <w:color w:val="000000"/>
                <w:kern w:val="0"/>
                <w:szCs w:val="21"/>
              </w:rPr>
              <w:t>无法及时接收询标函（远程网上询标）或未在规定时间内（从评标委员会发起远程</w:t>
            </w:r>
            <w:r>
              <w:rPr>
                <w:rFonts w:hint="eastAsia" w:ascii="Times New Roman" w:hAnsi="Times New Roman" w:eastAsia="宋体" w:cs="楷体"/>
                <w:bCs/>
                <w:snapToGrid w:val="0"/>
                <w:color w:val="000000"/>
                <w:kern w:val="0"/>
                <w:szCs w:val="21"/>
                <w:lang w:eastAsia="zh-CN"/>
              </w:rPr>
              <w:t>电话</w:t>
            </w:r>
            <w:r>
              <w:rPr>
                <w:rFonts w:hint="eastAsia" w:ascii="Times New Roman" w:hAnsi="Times New Roman" w:cs="楷体"/>
                <w:bCs/>
                <w:snapToGrid w:val="0"/>
                <w:color w:val="000000"/>
                <w:kern w:val="0"/>
                <w:szCs w:val="21"/>
              </w:rPr>
              <w:t>询标至询标结束原则上为 15 分钟，具体时间要求以评标委员会通过</w:t>
            </w:r>
            <w:r>
              <w:rPr>
                <w:rFonts w:hint="eastAsia" w:ascii="Times New Roman" w:hAnsi="Times New Roman" w:eastAsia="宋体" w:cs="楷体"/>
                <w:bCs/>
                <w:snapToGrid w:val="0"/>
                <w:color w:val="000000"/>
                <w:kern w:val="0"/>
                <w:szCs w:val="21"/>
                <w:lang w:eastAsia="zh-CN"/>
              </w:rPr>
              <w:t>电话</w:t>
            </w:r>
            <w:r>
              <w:rPr>
                <w:rFonts w:hint="eastAsia" w:ascii="Times New Roman" w:hAnsi="Times New Roman" w:cs="楷体"/>
                <w:bCs/>
                <w:snapToGrid w:val="0"/>
                <w:color w:val="000000"/>
                <w:kern w:val="0"/>
                <w:szCs w:val="21"/>
              </w:rPr>
              <w:t>询标函为准）按评标委员会要求进行澄清、说明或补正内容的视同投标人放弃澄清、说明或补正内容的权利，评标委员会可按对投标人不利的解释进行判定。</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楷体" w:hAnsi="楷体" w:eastAsia="楷体"/>
                <w:bCs/>
                <w:snapToGrid w:val="0"/>
                <w:color w:val="0000FF"/>
                <w:kern w:val="0"/>
                <w:szCs w:val="21"/>
              </w:rPr>
            </w:pPr>
            <w:r>
              <w:rPr>
                <w:rFonts w:hint="eastAsia" w:ascii="Times New Roman" w:hAnsi="Times New Roman"/>
                <w:bCs/>
                <w:snapToGrid w:val="0"/>
                <w:color w:val="000000"/>
                <w:kern w:val="0"/>
                <w:szCs w:val="21"/>
              </w:rPr>
              <w:t>10.4</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bCs/>
                <w:snapToGrid w:val="0"/>
                <w:color w:val="000000"/>
                <w:kern w:val="0"/>
                <w:szCs w:val="21"/>
              </w:rPr>
              <w:t>招标代理服务费</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b/>
                <w:snapToGrid w:val="0"/>
                <w:color w:val="000000"/>
                <w:kern w:val="0"/>
                <w:sz w:val="24"/>
                <w:szCs w:val="24"/>
              </w:rPr>
            </w:pP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color w:val="000000"/>
              </w:rPr>
            </w:pPr>
            <w:r>
              <w:rPr>
                <w:rFonts w:hint="eastAsia" w:ascii="Times New Roman" w:hAnsi="Times New Roman"/>
                <w:bCs/>
                <w:snapToGrid w:val="0"/>
                <w:color w:val="000000"/>
                <w:kern w:val="0"/>
                <w:szCs w:val="21"/>
              </w:rPr>
              <w:t>10.5</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F79646"/>
                <w:kern w:val="0"/>
                <w:szCs w:val="21"/>
              </w:rPr>
            </w:pPr>
            <w:r>
              <w:rPr>
                <w:rFonts w:hint="eastAsia" w:ascii="Times New Roman" w:hAnsi="Times New Roman"/>
                <w:bCs/>
                <w:snapToGrid w:val="0"/>
                <w:color w:val="000000"/>
                <w:kern w:val="0"/>
                <w:szCs w:val="21"/>
              </w:rPr>
              <w:t>其他</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w:t>
            </w:r>
            <w:r>
              <w:rPr>
                <w:rFonts w:ascii="Times New Roman" w:hAnsi="Times New Roman"/>
                <w:bCs/>
                <w:snapToGrid w:val="0"/>
                <w:color w:val="000000"/>
                <w:kern w:val="0"/>
                <w:szCs w:val="21"/>
              </w:rPr>
              <w:t>1）</w:t>
            </w:r>
            <w:r>
              <w:rPr>
                <w:rFonts w:hint="eastAsia" w:ascii="Times New Roman" w:hAnsi="Times New Roman"/>
                <w:bCs/>
                <w:snapToGrid w:val="0"/>
                <w:color w:val="000000"/>
                <w:kern w:val="0"/>
                <w:szCs w:val="21"/>
              </w:rPr>
              <w:t>投标人提供虚假资料谋取中标将被依法处罚，合肥市公共资源交易监督管理局及其所辖县（市）公共资源交易监督管理部门将记入不良行为记录，并予以曝光。</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w:t>
            </w:r>
            <w:r>
              <w:rPr>
                <w:rFonts w:ascii="Times New Roman" w:hAnsi="Times New Roman"/>
                <w:bCs/>
                <w:snapToGrid w:val="0"/>
                <w:color w:val="000000"/>
                <w:kern w:val="0"/>
                <w:szCs w:val="21"/>
              </w:rPr>
              <w:t>2）投标人对所提交的投标人或拟派</w:t>
            </w:r>
            <w:r>
              <w:rPr>
                <w:rFonts w:hint="eastAsia" w:ascii="Times New Roman" w:hAnsi="Times New Roman"/>
                <w:bCs/>
                <w:snapToGrid w:val="0"/>
                <w:color w:val="000000"/>
                <w:kern w:val="0"/>
                <w:szCs w:val="21"/>
              </w:rPr>
              <w:t>项目负责人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w:t>
            </w:r>
            <w:r>
              <w:rPr>
                <w:rFonts w:hint="eastAsia"/>
                <w:bCs/>
                <w:snapToGrid w:val="0"/>
                <w:color w:val="000000"/>
                <w:kern w:val="0"/>
                <w:szCs w:val="21"/>
              </w:rPr>
              <w:t>长丰县发展和改革委员会</w:t>
            </w:r>
            <w:r>
              <w:rPr>
                <w:rFonts w:hint="eastAsia" w:ascii="Times New Roman" w:hAnsi="Times New Roman"/>
                <w:bCs/>
                <w:snapToGrid w:val="0"/>
                <w:color w:val="000000"/>
                <w:kern w:val="0"/>
                <w:szCs w:val="21"/>
              </w:rPr>
              <w:t>）依法处理。</w:t>
            </w:r>
            <w:r>
              <w:rPr>
                <w:rFonts w:ascii="Times New Roman" w:hAnsi="Times New Roman"/>
                <w:bCs/>
                <w:snapToGrid w:val="0"/>
                <w:color w:val="000000"/>
                <w:kern w:val="0"/>
                <w:szCs w:val="21"/>
              </w:rPr>
              <w:t xml:space="preserve">  </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w:t>
            </w:r>
            <w:r>
              <w:rPr>
                <w:rFonts w:ascii="Times New Roman" w:hAnsi="Times New Roman"/>
                <w:bCs/>
                <w:snapToGrid w:val="0"/>
                <w:color w:val="000000"/>
                <w:kern w:val="0"/>
                <w:szCs w:val="21"/>
              </w:rPr>
              <w:t>3）招标人和中标人未履行下述义务的，</w:t>
            </w:r>
            <w:r>
              <w:rPr>
                <w:rFonts w:hint="eastAsia"/>
                <w:bCs/>
                <w:snapToGrid w:val="0"/>
                <w:color w:val="000000"/>
                <w:kern w:val="0"/>
                <w:szCs w:val="21"/>
              </w:rPr>
              <w:t>长丰县发展和改革委员会</w:t>
            </w:r>
            <w:r>
              <w:rPr>
                <w:rFonts w:ascii="Times New Roman" w:hAnsi="Times New Roman"/>
                <w:bCs/>
                <w:snapToGrid w:val="0"/>
                <w:color w:val="000000"/>
                <w:kern w:val="0"/>
                <w:szCs w:val="21"/>
              </w:rPr>
              <w:t>将依法对招标人和中标人进行处理，追究相关责任：</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①招标文件载明在规定期限内中标人应领取《中标通知书》，若中标人未在规定期限内领取《中标通知书》，招标人有权取消中标人中标资格，并将相关违约行为报送监管部门，实施信用惩戒</w:t>
            </w:r>
            <w:r>
              <w:rPr>
                <w:rFonts w:ascii="Times New Roman" w:hAnsi="Times New Roman"/>
                <w:bCs/>
                <w:snapToGrid w:val="0"/>
                <w:color w:val="000000"/>
                <w:kern w:val="0"/>
                <w:szCs w:val="21"/>
              </w:rPr>
              <w:t>;</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②中标人应在规定期限内提交履约担保并与招标人签订合同，若中标人未能在规定期限内提交履约担保或签订合同，招标人有权取消中标人中标资格，并将相关违约行为报送监管部门，实施信用惩戒</w:t>
            </w:r>
            <w:r>
              <w:rPr>
                <w:rFonts w:ascii="Times New Roman" w:hAnsi="Times New Roman"/>
                <w:bCs/>
                <w:snapToGrid w:val="0"/>
                <w:color w:val="000000"/>
                <w:kern w:val="0"/>
                <w:szCs w:val="21"/>
              </w:rPr>
              <w:t>;</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③合同签订后，中标人存在规定时间内不履行义务等情况，招标人有权解除合同，并追究违约责任，同时将相关违约行为报送监管部门，记不良行为记录，实施信用惩戒</w:t>
            </w:r>
            <w:r>
              <w:rPr>
                <w:rFonts w:ascii="Times New Roman" w:hAnsi="Times New Roman"/>
                <w:bCs/>
                <w:snapToGrid w:val="0"/>
                <w:color w:val="000000"/>
                <w:kern w:val="0"/>
                <w:szCs w:val="21"/>
              </w:rPr>
              <w:t>;</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④中标人中标后被监管部门查实存在违法行为，不满足中标条件的，由招标人取消中标资格，并做好项目后续工作</w:t>
            </w:r>
            <w:r>
              <w:rPr>
                <w:rFonts w:ascii="Times New Roman" w:hAnsi="Times New Roman"/>
                <w:bCs/>
                <w:snapToGrid w:val="0"/>
                <w:color w:val="000000"/>
                <w:kern w:val="0"/>
                <w:szCs w:val="21"/>
              </w:rPr>
              <w:t>;</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⑤中标人在中标项目发生投诉、信访举报案件、履约存在争议时，拒绝协助配合执法部门调查案件的，招标人可以取消其中标资格或解除合同，并追究其违约责任。</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10.6</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同义词语</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bCs/>
                <w:snapToGrid w:val="0"/>
                <w:color w:val="000000"/>
                <w:kern w:val="0"/>
                <w:szCs w:val="21"/>
              </w:rPr>
            </w:pPr>
            <w:r>
              <w:rPr>
                <w:rFonts w:hint="eastAsia"/>
                <w:color w:val="000000"/>
              </w:rPr>
              <w:t>构成招标文件组成部分的“通用合同条款”、“专用合同条款”、等章节中“买方”和“卖方”，等同于招标投标阶段的“招标人”和“投标人/中标人”。</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10.7</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解释权</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(1)构成本招标文件的各个组成文件应互为解释，互为说明；</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(2)同一组成文件中就同一事项的规定或约定不一致的，以编排顺序在后者为准；</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(3)如有不明确或不一致，构成合同文件组成内容的，以合同文件约定内容为准，且以专用合同条款约定的合同文件优先顺序解释；</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(4)除招标文件中有特别规定外，仅适用于招标投标阶段的规定，按招标公告、投标人须知、评标办法、投标文件格式的先后顺序解释；</w:t>
            </w:r>
          </w:p>
          <w:p>
            <w:pPr>
              <w:snapToGrid w:val="0"/>
              <w:rPr>
                <w:rFonts w:ascii="Times New Roman" w:hAnsi="Times New Roman"/>
                <w:bCs/>
                <w:snapToGrid w:val="0"/>
                <w:color w:val="000000"/>
                <w:kern w:val="0"/>
                <w:szCs w:val="21"/>
              </w:rPr>
            </w:pPr>
            <w:r>
              <w:rPr>
                <w:rFonts w:hint="eastAsia" w:ascii="Times New Roman" w:hAnsi="Times New Roman"/>
                <w:bCs/>
                <w:snapToGrid w:val="0"/>
                <w:color w:val="000000"/>
                <w:kern w:val="0"/>
                <w:szCs w:val="21"/>
              </w:rPr>
              <w:t>(5)按本款前述规定仍不能形成结论的，由招标人负责解释。</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10.8</w:t>
            </w:r>
          </w:p>
        </w:tc>
        <w:tc>
          <w:tcPr>
            <w:tcW w:w="82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招标人补充的其他内容</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楷体" w:hAnsi="楷体" w:eastAsia="楷体"/>
                <w:bCs/>
                <w:snapToGrid w:val="0"/>
                <w:color w:val="0000FF"/>
                <w:kern w:val="0"/>
                <w:szCs w:val="21"/>
              </w:rPr>
            </w:pPr>
            <w:r>
              <w:rPr>
                <w:rFonts w:hint="eastAsia" w:ascii="Times New Roman" w:hAnsi="Times New Roman"/>
                <w:bCs/>
                <w:snapToGrid w:val="0"/>
                <w:color w:val="000000"/>
                <w:kern w:val="0"/>
                <w:szCs w:val="21"/>
              </w:rPr>
              <w:t>10.8.1</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sz w:val="24"/>
              </w:rPr>
            </w:pPr>
            <w:r>
              <w:rPr>
                <w:rFonts w:hint="eastAsia" w:ascii="Times New Roman" w:hAnsi="Times New Roman"/>
                <w:bCs/>
                <w:snapToGrid w:val="0"/>
                <w:color w:val="auto"/>
                <w:kern w:val="0"/>
                <w:szCs w:val="21"/>
              </w:rPr>
              <w:t>付款方式</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overflowPunct/>
              <w:topLinePunct w:val="0"/>
              <w:autoSpaceDE/>
              <w:autoSpaceDN/>
              <w:bidi w:val="0"/>
              <w:adjustRightInd/>
              <w:snapToGrid/>
              <w:spacing w:before="0" w:beforeAutospacing="0" w:after="240" w:line="520" w:lineRule="exact"/>
              <w:ind w:left="425" w:leftChars="177" w:firstLine="468" w:firstLineChars="195"/>
              <w:textAlignment w:val="auto"/>
              <w:rPr>
                <w:rFonts w:hint="default" w:ascii="Times New Roman" w:hAnsi="Times New Roman" w:eastAsia="Calibri" w:cs="Calibri"/>
                <w:bCs/>
                <w:snapToGrid w:val="0"/>
                <w:color w:val="auto"/>
                <w:kern w:val="0"/>
                <w:sz w:val="24"/>
                <w:szCs w:val="21"/>
                <w:lang w:val="en-US" w:eastAsia="zh-CN" w:bidi="ar-SA"/>
              </w:rPr>
            </w:pPr>
            <w:r>
              <w:rPr>
                <w:rFonts w:hint="eastAsia" w:ascii="Times New Roman" w:hAnsi="Times New Roman" w:eastAsia="Calibri" w:cs="Calibri"/>
                <w:bCs/>
                <w:snapToGrid w:val="0"/>
                <w:color w:val="auto"/>
                <w:kern w:val="0"/>
                <w:sz w:val="24"/>
                <w:szCs w:val="21"/>
                <w:lang w:val="en-US" w:eastAsia="zh-CN" w:bidi="ar-SA"/>
              </w:rPr>
              <w:t>常年法律服务咨询费按年据实结算，等额结清，案件代理费（包括个案代理和风险代理）</w:t>
            </w:r>
            <w:r>
              <w:rPr>
                <w:rFonts w:hint="eastAsia" w:ascii="Times New Roman" w:hAnsi="Times New Roman" w:eastAsia="宋体" w:cs="Calibri"/>
                <w:bCs/>
                <w:snapToGrid w:val="0"/>
                <w:color w:val="auto"/>
                <w:kern w:val="0"/>
                <w:sz w:val="24"/>
                <w:szCs w:val="21"/>
                <w:lang w:val="en-US" w:eastAsia="zh-CN" w:bidi="ar-SA"/>
              </w:rPr>
              <w:t>依据折扣率</w:t>
            </w:r>
            <w:r>
              <w:rPr>
                <w:rFonts w:hint="eastAsia" w:ascii="Times New Roman" w:hAnsi="Times New Roman" w:eastAsia="Calibri" w:cs="Calibri"/>
                <w:bCs/>
                <w:snapToGrid w:val="0"/>
                <w:color w:val="auto"/>
                <w:kern w:val="0"/>
                <w:sz w:val="24"/>
                <w:szCs w:val="21"/>
                <w:lang w:val="en-US" w:eastAsia="zh-CN" w:bidi="ar-SA"/>
              </w:rPr>
              <w:t>据实结算。</w:t>
            </w:r>
          </w:p>
          <w:p>
            <w:pPr>
              <w:snapToGrid w:val="0"/>
              <w:rPr>
                <w:rFonts w:hint="eastAsia" w:ascii="宋体" w:hAnsi="宋体" w:eastAsia="宋体"/>
                <w:color w:val="auto"/>
                <w:sz w:val="24"/>
                <w:lang w:eastAsia="zh-CN"/>
              </w:rPr>
            </w:pPr>
          </w:p>
        </w:tc>
      </w:tr>
      <w:tr>
        <w:tblPrEx>
          <w:tblCellMar>
            <w:top w:w="0" w:type="dxa"/>
            <w:left w:w="108" w:type="dxa"/>
            <w:bottom w:w="0" w:type="dxa"/>
            <w:right w:w="108" w:type="dxa"/>
          </w:tblCellMar>
        </w:tblPrEx>
        <w:trPr>
          <w:trHeight w:val="3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10.8.2</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 w:val="24"/>
              </w:rPr>
            </w:pPr>
            <w:r>
              <w:rPr>
                <w:rFonts w:hint="eastAsia" w:ascii="Times New Roman" w:hAnsi="Times New Roman"/>
                <w:bCs/>
                <w:snapToGrid w:val="0"/>
                <w:color w:val="000000"/>
                <w:kern w:val="0"/>
                <w:szCs w:val="21"/>
              </w:rPr>
              <w:t>说明</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rPr>
            </w:pPr>
            <w:r>
              <w:t>1.本项目在中标候选人公示中将对中标候选人经评标委员会评审认可的</w:t>
            </w:r>
            <w:r>
              <w:rPr>
                <w:rFonts w:hint="eastAsia"/>
              </w:rPr>
              <w:t>下列材料进行公示</w:t>
            </w:r>
            <w:r>
              <w:t>：</w:t>
            </w:r>
            <w:r>
              <w:br w:type="textWrapping"/>
            </w:r>
            <w:r>
              <w:t>（1）拟任项目负责人（如有）：项目负责人姓名；</w:t>
            </w:r>
            <w:r>
              <w:br w:type="textWrapping"/>
            </w:r>
            <w:r>
              <w:t>（2）项目负责人业绩（如有，含资格审查用业绩和商务文件评分用业绩）：项目名称；</w:t>
            </w:r>
            <w:r>
              <w:br w:type="textWrapping"/>
            </w:r>
            <w:r>
              <w:t>（3）投标人业绩（如有，含资格审查用业绩和商务文件评分用业绩）：项目名称；</w:t>
            </w:r>
            <w:r>
              <w:br w:type="textWrapping"/>
            </w:r>
            <w:r>
              <w:t>（4）银行保函或担保机构担保形式的投标保证金扫描件（如采用）</w:t>
            </w:r>
            <w:r>
              <w:br w:type="textWrapping"/>
            </w:r>
            <w:r>
              <w:t>2.特别提示：因</w:t>
            </w:r>
            <w:r>
              <w:rPr>
                <w:rFonts w:hint="eastAsia" w:eastAsia="宋体"/>
                <w:lang w:eastAsia="zh-CN"/>
              </w:rPr>
              <w:t>长丰供水集团官网</w:t>
            </w:r>
            <w:r>
              <w:t>或</w:t>
            </w:r>
            <w:r>
              <w:rPr>
                <w:rFonts w:hint="eastAsia" w:eastAsia="宋体"/>
                <w:lang w:eastAsia="zh-CN"/>
              </w:rPr>
              <w:t>招标人</w:t>
            </w:r>
            <w:r>
              <w:t>出现软件设计或功能缺陷、运行异常等情况，可能影响招投标活动公平、公正进行的，招标人（或招标代理机构）有权中止或终止招投标活动，招投标各方免责。</w:t>
            </w:r>
          </w:p>
          <w:p>
            <w:pPr>
              <w:snapToGrid w:val="0"/>
              <w:rPr>
                <w:rFonts w:hint="eastAsia" w:ascii="Times New Roman" w:hAnsi="Times New Roman"/>
                <w:bCs/>
                <w:snapToGrid w:val="0"/>
                <w:kern w:val="0"/>
                <w:szCs w:val="21"/>
                <w:highlight w:val="yellow"/>
              </w:rPr>
            </w:pPr>
            <w:r>
              <w:rPr>
                <w:rFonts w:hint="eastAsia" w:ascii="Times New Roman" w:hAnsi="Times New Roman"/>
                <w:bCs/>
                <w:snapToGrid w:val="0"/>
                <w:color w:val="000000"/>
                <w:kern w:val="0"/>
                <w:szCs w:val="21"/>
              </w:rPr>
              <w:t>3、招标人的其他要求及需求：第五章服务要求。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10.8.3</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补充说明</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一、特别说明：</w:t>
            </w:r>
          </w:p>
          <w:p>
            <w:pPr>
              <w:snapToGrid w:val="0"/>
              <w:rPr>
                <w:rFonts w:hint="eastAsia" w:ascii="Times New Roman" w:hAnsi="Times New Roman"/>
                <w:bCs/>
                <w:snapToGrid w:val="0"/>
                <w:color w:val="000000"/>
                <w:kern w:val="0"/>
                <w:szCs w:val="21"/>
              </w:rPr>
            </w:pPr>
            <w:r>
              <w:rPr>
                <w:rFonts w:hint="eastAsia" w:ascii="Times New Roman" w:hAnsi="Times New Roman"/>
                <w:bCs/>
                <w:snapToGrid w:val="0"/>
                <w:color w:val="000000"/>
                <w:kern w:val="0"/>
                <w:szCs w:val="21"/>
              </w:rPr>
              <w:t>1、投标人如未在招标文件规定的投标截止时间前</w:t>
            </w:r>
            <w:r>
              <w:rPr>
                <w:rFonts w:hint="eastAsia" w:ascii="Times New Roman" w:hAnsi="Times New Roman" w:eastAsia="宋体"/>
                <w:bCs/>
                <w:snapToGrid w:val="0"/>
                <w:color w:val="000000"/>
                <w:kern w:val="0"/>
                <w:szCs w:val="21"/>
                <w:lang w:eastAsia="zh-CN"/>
              </w:rPr>
              <w:t>提供纸质</w:t>
            </w:r>
            <w:r>
              <w:rPr>
                <w:rFonts w:hint="eastAsia" w:ascii="Times New Roman" w:hAnsi="Times New Roman"/>
                <w:bCs/>
                <w:snapToGrid w:val="0"/>
                <w:color w:val="000000"/>
                <w:kern w:val="0"/>
                <w:szCs w:val="21"/>
              </w:rPr>
              <w:t>投标文件，投标无效。</w:t>
            </w:r>
          </w:p>
          <w:p>
            <w:pPr>
              <w:snapToGrid w:val="0"/>
              <w:rPr>
                <w:rFonts w:hint="eastAsia" w:ascii="Times New Roman" w:hAnsi="Times New Roman"/>
                <w:bCs/>
                <w:snapToGrid w:val="0"/>
                <w:color w:val="000000"/>
                <w:kern w:val="0"/>
                <w:szCs w:val="21"/>
                <w:lang w:val="zh-CN"/>
              </w:rPr>
            </w:pPr>
            <w:r>
              <w:rPr>
                <w:rFonts w:hint="eastAsia" w:ascii="Times New Roman" w:hAnsi="Times New Roman"/>
                <w:bCs/>
                <w:snapToGrid w:val="0"/>
                <w:color w:val="000000"/>
                <w:kern w:val="0"/>
                <w:szCs w:val="21"/>
              </w:rPr>
              <w:t>3、招标文件中要求加盖公章或签章的，均可以提供加盖公章的扫描件；招标文件要求提供的证明资料均应在投标文件制作时制作成件</w:t>
            </w:r>
            <w:r>
              <w:rPr>
                <w:rFonts w:hint="eastAsia" w:ascii="Times New Roman" w:hAnsi="Times New Roman" w:eastAsia="宋体"/>
                <w:bCs/>
                <w:snapToGrid w:val="0"/>
                <w:color w:val="000000"/>
                <w:kern w:val="0"/>
                <w:szCs w:val="21"/>
                <w:lang w:eastAsia="zh-CN"/>
              </w:rPr>
              <w:t>提供</w:t>
            </w:r>
            <w:r>
              <w:rPr>
                <w:rFonts w:hint="eastAsia" w:ascii="Times New Roman" w:hAnsi="Times New Roman"/>
                <w:bCs/>
                <w:snapToGrid w:val="0"/>
                <w:color w:val="000000"/>
                <w:kern w:val="0"/>
                <w:szCs w:val="21"/>
              </w:rPr>
              <w:t>。</w:t>
            </w:r>
          </w:p>
        </w:tc>
      </w:tr>
    </w:tbl>
    <w:p>
      <w:pPr>
        <w:widowControl/>
        <w:ind w:left="0" w:leftChars="0" w:firstLine="0" w:firstLineChars="0"/>
        <w:jc w:val="left"/>
        <w:rPr>
          <w:rFonts w:ascii="宋体" w:hAnsi="宋体"/>
          <w:b w:val="0"/>
          <w:color w:val="000000"/>
        </w:rPr>
      </w:pPr>
      <w:r>
        <w:rPr>
          <w:rFonts w:ascii="宋体" w:hAnsi="宋体"/>
          <w:b w:val="0"/>
          <w:color w:val="000000"/>
        </w:rPr>
        <w:br w:type="page"/>
      </w:r>
    </w:p>
    <w:p>
      <w:pPr>
        <w:pStyle w:val="23"/>
        <w:rPr>
          <w:rFonts w:ascii="宋体" w:eastAsia="宋体"/>
          <w:b w:val="0"/>
          <w:sz w:val="30"/>
          <w:szCs w:val="30"/>
        </w:rPr>
      </w:pPr>
      <w:bookmarkStart w:id="14" w:name="_Toc283798422"/>
      <w:bookmarkStart w:id="15" w:name="_Toc72221873"/>
      <w:bookmarkStart w:id="16" w:name="_Toc72221451"/>
      <w:bookmarkStart w:id="17" w:name="_Toc15656409"/>
      <w:r>
        <w:rPr>
          <w:rFonts w:hint="eastAsia" w:ascii="宋体" w:eastAsia="宋体"/>
          <w:b w:val="0"/>
          <w:bCs/>
          <w:sz w:val="30"/>
          <w:szCs w:val="30"/>
        </w:rPr>
        <w:t>投标人须知</w:t>
      </w:r>
      <w:bookmarkEnd w:id="14"/>
      <w:r>
        <w:rPr>
          <w:rFonts w:hint="eastAsia" w:ascii="宋体" w:eastAsia="宋体"/>
          <w:b w:val="0"/>
          <w:bCs/>
          <w:sz w:val="30"/>
          <w:szCs w:val="30"/>
        </w:rPr>
        <w:t>正文修改一览表</w:t>
      </w:r>
      <w:bookmarkEnd w:id="15"/>
      <w:bookmarkEnd w:id="16"/>
      <w:bookmarkEnd w:id="17"/>
    </w:p>
    <w:p>
      <w:pPr>
        <w:pStyle w:val="24"/>
        <w:autoSpaceDE w:val="0"/>
        <w:autoSpaceDN w:val="0"/>
        <w:adjustRightInd w:val="0"/>
        <w:snapToGrid w:val="0"/>
        <w:spacing w:line="240" w:lineRule="atLeast"/>
        <w:jc w:val="center"/>
        <w:rPr>
          <w:rFonts w:ascii="宋体" w:hAnsi="宋体" w:cs="宋体"/>
          <w:b/>
          <w:sz w:val="31"/>
          <w:szCs w:val="49"/>
        </w:rPr>
      </w:pPr>
    </w:p>
    <w:p>
      <w:pPr>
        <w:pStyle w:val="24"/>
        <w:rPr>
          <w:rFonts w:ascii="宋体" w:hAnsi="宋体"/>
          <w:kern w:val="0"/>
          <w:szCs w:val="21"/>
        </w:rPr>
      </w:pPr>
      <w:r>
        <w:rPr>
          <w:rFonts w:hint="eastAsia" w:ascii="宋体" w:hAnsi="宋体"/>
          <w:kern w:val="0"/>
          <w:szCs w:val="21"/>
        </w:rPr>
        <w:t>投标人须知正文条款内容修改如下：</w:t>
      </w:r>
    </w:p>
    <w:p>
      <w:pPr>
        <w:pStyle w:val="24"/>
        <w:autoSpaceDE w:val="0"/>
        <w:autoSpaceDN w:val="0"/>
        <w:adjustRightInd w:val="0"/>
        <w:snapToGrid w:val="0"/>
        <w:spacing w:line="240" w:lineRule="atLeast"/>
        <w:ind w:firstLine="190" w:firstLineChars="100"/>
        <w:rPr>
          <w:rFonts w:ascii="宋体" w:hAnsi="宋体" w:cs="宋体"/>
          <w:spacing w:val="-10"/>
          <w:kern w:val="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150"/>
        <w:gridCol w:w="5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ascii="宋体" w:hAnsi="宋体"/>
                <w:b/>
              </w:rPr>
            </w:pPr>
            <w:r>
              <w:rPr>
                <w:rFonts w:hint="eastAsia" w:ascii="宋体" w:hAnsi="宋体"/>
                <w:b/>
              </w:rPr>
              <w:t>条款</w:t>
            </w:r>
          </w:p>
          <w:p>
            <w:pPr>
              <w:pStyle w:val="24"/>
              <w:jc w:val="center"/>
              <w:rPr>
                <w:rFonts w:ascii="宋体" w:hAnsi="宋体"/>
                <w:b/>
              </w:rPr>
            </w:pPr>
            <w:r>
              <w:rPr>
                <w:rFonts w:hint="eastAsia" w:ascii="宋体" w:hAnsi="宋体"/>
                <w:b/>
              </w:rPr>
              <w:t>编号</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ascii="宋体" w:hAnsi="宋体"/>
                <w:b/>
              </w:rPr>
            </w:pPr>
            <w:r>
              <w:rPr>
                <w:rFonts w:hint="eastAsia" w:ascii="宋体" w:hAnsi="宋体"/>
                <w:b/>
              </w:rPr>
              <w:t>示范文本中条款内容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24"/>
              <w:jc w:val="center"/>
              <w:rPr>
                <w:rFonts w:ascii="宋体" w:hAnsi="宋体"/>
                <w:b/>
              </w:rPr>
            </w:pPr>
            <w:r>
              <w:rPr>
                <w:rFonts w:hint="eastAsia" w:ascii="宋体" w:hAnsi="宋体"/>
                <w:b/>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r>
              <w:rPr>
                <w:rFonts w:hint="eastAsia"/>
              </w:rPr>
              <w:t>/</w:t>
            </w:r>
          </w:p>
        </w:tc>
        <w:tc>
          <w:tcPr>
            <w:tcW w:w="3150" w:type="dxa"/>
            <w:tcBorders>
              <w:top w:val="single" w:color="auto" w:sz="4" w:space="0"/>
              <w:left w:val="single" w:color="auto" w:sz="4" w:space="0"/>
              <w:bottom w:val="single" w:color="auto" w:sz="4" w:space="0"/>
              <w:right w:val="single" w:color="auto" w:sz="4" w:space="0"/>
            </w:tcBorders>
            <w:noWrap w:val="0"/>
            <w:vAlign w:val="center"/>
          </w:tcPr>
          <w:p>
            <w:r>
              <w:rPr>
                <w:rFonts w:hint="eastAsia"/>
              </w:rPr>
              <w:t>/</w:t>
            </w:r>
          </w:p>
        </w:tc>
        <w:tc>
          <w:tcPr>
            <w:tcW w:w="5225" w:type="dxa"/>
            <w:tcBorders>
              <w:top w:val="single" w:color="auto" w:sz="4" w:space="0"/>
              <w:left w:val="single" w:color="auto" w:sz="4" w:space="0"/>
              <w:bottom w:val="single" w:color="auto" w:sz="4" w:space="0"/>
              <w:right w:val="single" w:color="auto" w:sz="4" w:space="0"/>
            </w:tcBorders>
            <w:noWrap w:val="0"/>
            <w:vAlign w:val="center"/>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tc>
        <w:tc>
          <w:tcPr>
            <w:tcW w:w="3150" w:type="dxa"/>
            <w:tcBorders>
              <w:top w:val="single" w:color="auto" w:sz="4" w:space="0"/>
              <w:left w:val="single" w:color="auto" w:sz="4" w:space="0"/>
              <w:bottom w:val="single" w:color="auto" w:sz="4" w:space="0"/>
              <w:right w:val="single" w:color="auto" w:sz="4" w:space="0"/>
            </w:tcBorders>
            <w:noWrap w:val="0"/>
            <w:vAlign w:val="center"/>
          </w:tcPr>
          <w:p/>
        </w:tc>
        <w:tc>
          <w:tcPr>
            <w:tcW w:w="5225" w:type="dxa"/>
            <w:tcBorders>
              <w:top w:val="single" w:color="auto" w:sz="4" w:space="0"/>
              <w:left w:val="single" w:color="auto" w:sz="4" w:space="0"/>
              <w:bottom w:val="single" w:color="auto" w:sz="4" w:space="0"/>
              <w:right w:val="single" w:color="auto" w:sz="4" w:space="0"/>
            </w:tcBorders>
            <w:noWrap w:val="0"/>
            <w:vAlign w:val="center"/>
          </w:tcPr>
          <w:p/>
        </w:tc>
      </w:tr>
    </w:tbl>
    <w:p>
      <w:pPr>
        <w:pStyle w:val="4"/>
        <w:rPr>
          <w:rFonts w:ascii="宋体" w:hAnsi="宋体" w:eastAsia="宋体"/>
          <w:b w:val="0"/>
          <w:color w:val="000000"/>
        </w:rPr>
      </w:pPr>
      <w:r>
        <w:rPr>
          <w:rFonts w:ascii="宋体" w:hAnsi="宋体" w:eastAsia="宋体"/>
          <w:b w:val="0"/>
        </w:rPr>
        <w:br w:type="page"/>
      </w:r>
      <w:bookmarkStart w:id="18" w:name="_Toc72221874"/>
      <w:r>
        <w:rPr>
          <w:rFonts w:ascii="宋体" w:hAnsi="宋体" w:eastAsia="宋体"/>
          <w:b w:val="0"/>
          <w:color w:val="000000"/>
        </w:rPr>
        <w:t xml:space="preserve">1. </w:t>
      </w:r>
      <w:r>
        <w:rPr>
          <w:rFonts w:hint="eastAsia" w:ascii="宋体" w:hAnsi="宋体" w:eastAsia="宋体"/>
          <w:b w:val="0"/>
          <w:color w:val="000000"/>
        </w:rPr>
        <w:t>总则</w:t>
      </w:r>
      <w:bookmarkEnd w:id="18"/>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1.1 </w:t>
      </w:r>
      <w:r>
        <w:rPr>
          <w:rFonts w:hint="eastAsia" w:ascii="宋体" w:hAnsi="宋体" w:eastAsia="宋体"/>
          <w:color w:val="000000"/>
          <w:sz w:val="24"/>
          <w:szCs w:val="24"/>
        </w:rPr>
        <w:t>招标项目概况</w:t>
      </w:r>
    </w:p>
    <w:p>
      <w:pPr>
        <w:spacing w:line="400" w:lineRule="exact"/>
        <w:ind w:firstLine="480" w:firstLineChars="200"/>
        <w:rPr>
          <w:rFonts w:ascii="宋体" w:hAnsi="宋体"/>
          <w:color w:val="000000"/>
        </w:rPr>
      </w:pPr>
      <w:r>
        <w:rPr>
          <w:rFonts w:ascii="宋体" w:hAnsi="宋体"/>
          <w:color w:val="000000"/>
        </w:rPr>
        <w:t>1.1.1</w:t>
      </w:r>
      <w:r>
        <w:rPr>
          <w:rFonts w:hint="eastAsia" w:ascii="宋体" w:hAnsi="宋体"/>
          <w:color w:val="000000"/>
        </w:rPr>
        <w:t xml:space="preserve"> 根据《中华人民共和国招标投标法》《中华人民共和国招标投标法实施条例》等有关法律、法规和规章的规定，本招标项目已具备招标条件，现对代理服务进行招标。</w:t>
      </w:r>
    </w:p>
    <w:p>
      <w:pPr>
        <w:spacing w:line="400" w:lineRule="exact"/>
        <w:ind w:firstLine="480" w:firstLineChars="200"/>
        <w:rPr>
          <w:rFonts w:ascii="宋体" w:hAnsi="宋体"/>
          <w:color w:val="000000"/>
        </w:rPr>
      </w:pPr>
      <w:r>
        <w:rPr>
          <w:rFonts w:ascii="宋体" w:hAnsi="宋体"/>
          <w:color w:val="000000"/>
        </w:rPr>
        <w:t>1.1.2</w:t>
      </w:r>
      <w:r>
        <w:rPr>
          <w:rFonts w:hint="eastAsia" w:ascii="宋体" w:hAnsi="宋体"/>
          <w:color w:val="000000"/>
        </w:rPr>
        <w:t xml:space="preserve"> 招标人：见投标人须知前附表。</w:t>
      </w:r>
    </w:p>
    <w:p>
      <w:pPr>
        <w:spacing w:line="400" w:lineRule="exact"/>
        <w:ind w:firstLine="480" w:firstLineChars="200"/>
        <w:rPr>
          <w:rFonts w:ascii="宋体" w:hAnsi="宋体"/>
          <w:color w:val="000000"/>
        </w:rPr>
      </w:pPr>
      <w:r>
        <w:rPr>
          <w:rFonts w:ascii="宋体" w:hAnsi="宋体"/>
          <w:color w:val="000000"/>
        </w:rPr>
        <w:t>1.1.3</w:t>
      </w:r>
      <w:r>
        <w:rPr>
          <w:rFonts w:hint="eastAsia" w:ascii="宋体" w:hAnsi="宋体"/>
          <w:color w:val="000000"/>
        </w:rPr>
        <w:t xml:space="preserve"> 招标代理机构：见投标人须知前附表。</w:t>
      </w:r>
    </w:p>
    <w:p>
      <w:pPr>
        <w:spacing w:line="400" w:lineRule="exact"/>
        <w:ind w:firstLine="480" w:firstLineChars="200"/>
        <w:rPr>
          <w:rFonts w:ascii="宋体" w:hAnsi="宋体"/>
          <w:color w:val="000000"/>
        </w:rPr>
      </w:pPr>
      <w:r>
        <w:rPr>
          <w:rFonts w:ascii="宋体" w:hAnsi="宋体"/>
          <w:color w:val="000000"/>
        </w:rPr>
        <w:t>1.1.4</w:t>
      </w:r>
      <w:r>
        <w:rPr>
          <w:rFonts w:hint="eastAsia" w:ascii="宋体" w:hAnsi="宋体"/>
          <w:color w:val="000000"/>
        </w:rPr>
        <w:t xml:space="preserve"> 招标项目名称：见投标人须知前附表。</w:t>
      </w:r>
    </w:p>
    <w:p>
      <w:pPr>
        <w:spacing w:line="400" w:lineRule="exact"/>
        <w:ind w:firstLine="480" w:firstLineChars="200"/>
        <w:rPr>
          <w:rFonts w:ascii="宋体" w:hAnsi="宋体"/>
          <w:color w:val="000000"/>
        </w:rPr>
      </w:pPr>
      <w:r>
        <w:rPr>
          <w:rFonts w:ascii="宋体" w:hAnsi="宋体"/>
          <w:color w:val="000000"/>
        </w:rPr>
        <w:t>1.1.5</w:t>
      </w:r>
      <w:r>
        <w:rPr>
          <w:rFonts w:hint="eastAsia" w:ascii="宋体" w:hAnsi="宋体"/>
          <w:color w:val="000000"/>
        </w:rPr>
        <w:t xml:space="preserve"> 项目</w:t>
      </w:r>
      <w:r>
        <w:rPr>
          <w:rFonts w:hint="eastAsia" w:ascii="宋体" w:hAnsi="宋体" w:eastAsia="宋体"/>
          <w:color w:val="000000"/>
          <w:lang w:eastAsia="zh-CN"/>
        </w:rPr>
        <w:t>服务</w:t>
      </w:r>
      <w:r>
        <w:rPr>
          <w:rFonts w:hint="eastAsia" w:ascii="宋体" w:hAnsi="宋体"/>
          <w:color w:val="000000"/>
        </w:rPr>
        <w:t>地点：见投标人须知前附表。</w:t>
      </w:r>
    </w:p>
    <w:p>
      <w:pPr>
        <w:spacing w:line="400" w:lineRule="exact"/>
        <w:ind w:firstLine="480" w:firstLineChars="200"/>
        <w:rPr>
          <w:rFonts w:ascii="宋体" w:hAnsi="宋体"/>
          <w:color w:val="000000"/>
        </w:rPr>
      </w:pPr>
      <w:r>
        <w:rPr>
          <w:rFonts w:ascii="宋体" w:hAnsi="宋体"/>
          <w:color w:val="000000"/>
        </w:rPr>
        <w:t>1.1.6</w:t>
      </w:r>
      <w:r>
        <w:rPr>
          <w:rFonts w:hint="eastAsia" w:ascii="宋体" w:hAnsi="宋体"/>
          <w:color w:val="000000"/>
        </w:rPr>
        <w:t xml:space="preserve"> 项目</w:t>
      </w:r>
      <w:r>
        <w:rPr>
          <w:rFonts w:hint="eastAsia" w:ascii="宋体" w:hAnsi="宋体" w:eastAsia="宋体"/>
          <w:color w:val="000000"/>
          <w:lang w:eastAsia="zh-CN"/>
        </w:rPr>
        <w:t>服务</w:t>
      </w:r>
      <w:r>
        <w:rPr>
          <w:rFonts w:hint="eastAsia" w:ascii="宋体" w:hAnsi="宋体"/>
          <w:color w:val="000000"/>
        </w:rPr>
        <w:t>规模：见投标人须知前附表。</w:t>
      </w:r>
    </w:p>
    <w:p>
      <w:pPr>
        <w:spacing w:line="400" w:lineRule="exact"/>
        <w:ind w:firstLine="480" w:firstLineChars="200"/>
        <w:rPr>
          <w:rFonts w:ascii="宋体" w:hAnsi="宋体"/>
          <w:color w:val="000000"/>
        </w:rPr>
      </w:pPr>
      <w:r>
        <w:rPr>
          <w:rFonts w:ascii="宋体" w:hAnsi="宋体"/>
          <w:color w:val="000000"/>
        </w:rPr>
        <w:t>1.1.7</w:t>
      </w:r>
      <w:r>
        <w:rPr>
          <w:rFonts w:hint="eastAsia" w:ascii="宋体" w:hAnsi="宋体"/>
          <w:color w:val="000000"/>
        </w:rPr>
        <w:t xml:space="preserve"> 项目投资估算：见投标人须知前附表。</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1.2 </w:t>
      </w:r>
      <w:r>
        <w:rPr>
          <w:rFonts w:hint="eastAsia" w:ascii="宋体" w:hAnsi="宋体" w:eastAsia="宋体"/>
          <w:color w:val="000000"/>
          <w:sz w:val="24"/>
          <w:szCs w:val="24"/>
        </w:rPr>
        <w:t>招标项目的资金来源和落实情况</w:t>
      </w:r>
    </w:p>
    <w:p>
      <w:pPr>
        <w:spacing w:line="400" w:lineRule="exact"/>
        <w:ind w:firstLine="480" w:firstLineChars="200"/>
        <w:rPr>
          <w:rFonts w:ascii="宋体" w:hAnsi="宋体"/>
        </w:rPr>
      </w:pPr>
      <w:r>
        <w:rPr>
          <w:rFonts w:ascii="宋体" w:hAnsi="宋体"/>
        </w:rPr>
        <w:t>1.2.1</w:t>
      </w:r>
      <w:r>
        <w:rPr>
          <w:rFonts w:hint="eastAsia" w:ascii="宋体" w:hAnsi="宋体"/>
        </w:rPr>
        <w:t>资金来源：见投标人须知前附表。</w:t>
      </w:r>
    </w:p>
    <w:p>
      <w:pPr>
        <w:spacing w:line="400" w:lineRule="exact"/>
        <w:ind w:firstLine="480" w:firstLineChars="200"/>
        <w:rPr>
          <w:rFonts w:ascii="宋体" w:hAnsi="宋体"/>
        </w:rPr>
      </w:pPr>
      <w:r>
        <w:rPr>
          <w:rFonts w:ascii="宋体" w:hAnsi="宋体"/>
        </w:rPr>
        <w:t>1.2.2</w:t>
      </w:r>
      <w:r>
        <w:rPr>
          <w:rFonts w:hint="eastAsia" w:ascii="宋体" w:hAnsi="宋体"/>
        </w:rPr>
        <w:t>出资比例：见投标人须知前附表。</w:t>
      </w:r>
    </w:p>
    <w:p>
      <w:pPr>
        <w:spacing w:line="400" w:lineRule="exact"/>
        <w:ind w:firstLine="480" w:firstLineChars="200"/>
        <w:rPr>
          <w:rFonts w:ascii="宋体" w:hAnsi="宋体"/>
        </w:rPr>
      </w:pPr>
      <w:r>
        <w:rPr>
          <w:rFonts w:ascii="宋体" w:hAnsi="宋体"/>
        </w:rPr>
        <w:t>1.2.3</w:t>
      </w:r>
      <w:r>
        <w:rPr>
          <w:rFonts w:hint="eastAsia" w:ascii="宋体" w:hAnsi="宋体"/>
        </w:rPr>
        <w:t>资金落实情况：见投标人须知前附表。</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1.3</w:t>
      </w:r>
      <w:r>
        <w:rPr>
          <w:rFonts w:hint="eastAsia" w:ascii="宋体" w:hAnsi="宋体" w:eastAsia="宋体"/>
          <w:color w:val="000000"/>
          <w:sz w:val="24"/>
          <w:szCs w:val="24"/>
        </w:rPr>
        <w:t xml:space="preserve"> 招标范围、服务期限和质量要求</w:t>
      </w:r>
    </w:p>
    <w:p>
      <w:pPr>
        <w:spacing w:line="400" w:lineRule="exact"/>
        <w:ind w:firstLine="480" w:firstLineChars="200"/>
        <w:rPr>
          <w:rFonts w:ascii="宋体" w:hAnsi="宋体"/>
          <w:color w:val="000000"/>
        </w:rPr>
      </w:pPr>
      <w:r>
        <w:rPr>
          <w:rFonts w:ascii="宋体" w:hAnsi="宋体"/>
          <w:color w:val="000000"/>
        </w:rPr>
        <w:t>1.3.1</w:t>
      </w:r>
      <w:r>
        <w:rPr>
          <w:rFonts w:hint="eastAsia" w:ascii="宋体" w:hAnsi="宋体"/>
          <w:color w:val="000000"/>
        </w:rPr>
        <w:t xml:space="preserve"> 招标范围：见投标人须知前附表。</w:t>
      </w:r>
    </w:p>
    <w:p>
      <w:pPr>
        <w:spacing w:line="400" w:lineRule="exact"/>
        <w:ind w:firstLine="480" w:firstLineChars="200"/>
        <w:rPr>
          <w:rFonts w:ascii="宋体" w:hAnsi="宋体"/>
          <w:color w:val="000000"/>
        </w:rPr>
      </w:pPr>
      <w:r>
        <w:rPr>
          <w:rFonts w:ascii="宋体" w:hAnsi="宋体"/>
          <w:color w:val="000000"/>
        </w:rPr>
        <w:t>1.3.2</w:t>
      </w:r>
      <w:r>
        <w:rPr>
          <w:rFonts w:hint="eastAsia" w:ascii="宋体" w:hAnsi="宋体"/>
          <w:color w:val="000000"/>
        </w:rPr>
        <w:t xml:space="preserve"> 服务期限：见投标人须知前附表。</w:t>
      </w:r>
    </w:p>
    <w:p>
      <w:pPr>
        <w:spacing w:line="400" w:lineRule="exact"/>
        <w:ind w:firstLine="480" w:firstLineChars="200"/>
        <w:rPr>
          <w:rFonts w:ascii="宋体" w:hAnsi="宋体"/>
          <w:color w:val="000000"/>
        </w:rPr>
      </w:pPr>
      <w:r>
        <w:rPr>
          <w:rFonts w:ascii="宋体" w:hAnsi="宋体"/>
          <w:color w:val="000000"/>
        </w:rPr>
        <w:t>1.3.3</w:t>
      </w:r>
      <w:r>
        <w:rPr>
          <w:rFonts w:hint="eastAsia" w:ascii="宋体" w:hAnsi="宋体"/>
          <w:color w:val="000000"/>
        </w:rPr>
        <w:t xml:space="preserve"> 质量要求：见投标人须知前附表。</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1.4</w:t>
      </w:r>
      <w:r>
        <w:rPr>
          <w:rFonts w:hint="eastAsia" w:ascii="宋体" w:hAnsi="宋体" w:eastAsia="宋体"/>
          <w:color w:val="000000"/>
          <w:sz w:val="24"/>
          <w:szCs w:val="24"/>
        </w:rPr>
        <w:t xml:space="preserve"> 投标人资格要求</w:t>
      </w:r>
    </w:p>
    <w:p>
      <w:pPr>
        <w:spacing w:line="400" w:lineRule="exact"/>
        <w:ind w:firstLine="480" w:firstLineChars="200"/>
        <w:rPr>
          <w:rFonts w:ascii="宋体" w:hAnsi="宋体"/>
        </w:rPr>
      </w:pPr>
      <w:r>
        <w:rPr>
          <w:rFonts w:ascii="宋体" w:hAnsi="宋体"/>
          <w:color w:val="000000"/>
        </w:rPr>
        <w:t xml:space="preserve">1.4.1 </w:t>
      </w:r>
      <w:r>
        <w:rPr>
          <w:rFonts w:hint="eastAsia" w:ascii="宋体" w:hAnsi="宋体"/>
          <w:color w:val="000000"/>
        </w:rPr>
        <w:t>投标人应具备承担本招标项目的资质条件、能力和信誉</w:t>
      </w:r>
      <w:r>
        <w:rPr>
          <w:rFonts w:hint="eastAsia" w:ascii="宋体" w:hAnsi="宋体"/>
        </w:rPr>
        <w:t>：</w:t>
      </w:r>
    </w:p>
    <w:p>
      <w:pPr>
        <w:spacing w:line="400" w:lineRule="exact"/>
        <w:ind w:firstLine="360" w:firstLineChars="15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）资质要求：见投标人须知前附表；</w:t>
      </w:r>
    </w:p>
    <w:p>
      <w:pPr>
        <w:spacing w:line="400" w:lineRule="exact"/>
        <w:ind w:firstLine="360" w:firstLineChars="15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w:t>
      </w:r>
      <w:r>
        <w:rPr>
          <w:rFonts w:hint="eastAsia" w:ascii="宋体" w:hAnsi="宋体"/>
        </w:rPr>
        <w:t>财务</w:t>
      </w:r>
      <w:r>
        <w:rPr>
          <w:rFonts w:hint="eastAsia" w:ascii="宋体" w:hAnsi="宋体"/>
          <w:color w:val="000000"/>
        </w:rPr>
        <w:t>要求：见投标人须知前附表；</w:t>
      </w:r>
    </w:p>
    <w:p>
      <w:pPr>
        <w:spacing w:line="400" w:lineRule="exact"/>
        <w:ind w:firstLine="360" w:firstLineChars="150"/>
        <w:rPr>
          <w:rFonts w:ascii="宋体" w:hAnsi="宋体"/>
        </w:rPr>
      </w:pPr>
      <w:r>
        <w:rPr>
          <w:rFonts w:hint="eastAsia" w:ascii="宋体" w:hAnsi="宋体"/>
        </w:rPr>
        <w:t>（</w:t>
      </w:r>
      <w:r>
        <w:rPr>
          <w:rFonts w:ascii="宋体" w:hAnsi="宋体"/>
        </w:rPr>
        <w:t>3</w:t>
      </w:r>
      <w:r>
        <w:rPr>
          <w:rFonts w:hint="eastAsia" w:ascii="宋体" w:hAnsi="宋体"/>
        </w:rPr>
        <w:t>）业绩要求：见投标人须知前附表；</w:t>
      </w:r>
    </w:p>
    <w:p>
      <w:pPr>
        <w:spacing w:line="400" w:lineRule="exact"/>
        <w:ind w:firstLine="360" w:firstLineChars="150"/>
        <w:rPr>
          <w:rFonts w:ascii="宋体" w:hAnsi="宋体"/>
        </w:rPr>
      </w:pPr>
      <w:r>
        <w:rPr>
          <w:rFonts w:hint="eastAsia" w:ascii="宋体" w:hAnsi="宋体"/>
        </w:rPr>
        <w:t>（</w:t>
      </w:r>
      <w:r>
        <w:rPr>
          <w:rFonts w:ascii="宋体" w:hAnsi="宋体"/>
        </w:rPr>
        <w:t>4</w:t>
      </w:r>
      <w:r>
        <w:rPr>
          <w:rFonts w:hint="eastAsia" w:ascii="宋体" w:hAnsi="宋体"/>
        </w:rPr>
        <w:t>）信誉要求：见投标人须知前附表；</w:t>
      </w:r>
    </w:p>
    <w:p>
      <w:pPr>
        <w:spacing w:line="400" w:lineRule="exact"/>
        <w:ind w:firstLine="360" w:firstLineChars="150"/>
        <w:rPr>
          <w:rFonts w:ascii="宋体" w:hAnsi="宋体"/>
        </w:rPr>
      </w:pPr>
      <w:r>
        <w:rPr>
          <w:rFonts w:hint="eastAsia" w:ascii="宋体" w:hAnsi="宋体"/>
        </w:rPr>
        <w:t>（</w:t>
      </w:r>
      <w:r>
        <w:rPr>
          <w:rFonts w:ascii="宋体" w:hAnsi="宋体"/>
        </w:rPr>
        <w:t>5</w:t>
      </w:r>
      <w:r>
        <w:rPr>
          <w:rFonts w:hint="eastAsia" w:ascii="宋体" w:hAnsi="宋体"/>
        </w:rPr>
        <w:t>）项目负责人的资格要求：见投标人须知前附表；</w:t>
      </w:r>
    </w:p>
    <w:p>
      <w:pPr>
        <w:spacing w:line="400" w:lineRule="exact"/>
        <w:ind w:firstLine="360" w:firstLineChars="150"/>
        <w:rPr>
          <w:rFonts w:ascii="宋体" w:hAnsi="宋体"/>
        </w:rPr>
      </w:pPr>
      <w:r>
        <w:rPr>
          <w:rFonts w:hint="eastAsia" w:ascii="宋体" w:hAnsi="宋体"/>
        </w:rPr>
        <w:t>（</w:t>
      </w:r>
      <w:r>
        <w:rPr>
          <w:rFonts w:ascii="宋体" w:hAnsi="宋体"/>
        </w:rPr>
        <w:t>6</w:t>
      </w:r>
      <w:r>
        <w:rPr>
          <w:rFonts w:hint="eastAsia" w:ascii="宋体" w:hAnsi="宋体"/>
        </w:rPr>
        <w:t>）其他主要人员要求：见投标人须知前附表；</w:t>
      </w:r>
    </w:p>
    <w:p>
      <w:pPr>
        <w:spacing w:line="400" w:lineRule="exact"/>
        <w:ind w:firstLine="360" w:firstLineChars="150"/>
        <w:rPr>
          <w:rFonts w:ascii="宋体" w:hAnsi="宋体"/>
        </w:rPr>
      </w:pPr>
      <w:r>
        <w:rPr>
          <w:rFonts w:hint="eastAsia" w:ascii="宋体" w:hAnsi="宋体"/>
        </w:rPr>
        <w:t>（</w:t>
      </w:r>
      <w:r>
        <w:rPr>
          <w:rFonts w:ascii="宋体" w:hAnsi="宋体"/>
        </w:rPr>
        <w:t>7</w:t>
      </w:r>
      <w:r>
        <w:rPr>
          <w:rFonts w:hint="eastAsia" w:ascii="宋体" w:hAnsi="宋体"/>
        </w:rPr>
        <w:t>）其他要求：见投标人须知前附表。</w:t>
      </w:r>
    </w:p>
    <w:p>
      <w:pPr>
        <w:spacing w:line="400" w:lineRule="exact"/>
        <w:ind w:firstLine="480" w:firstLineChars="200"/>
        <w:rPr>
          <w:rFonts w:ascii="宋体" w:hAnsi="宋体"/>
        </w:rPr>
      </w:pPr>
      <w:r>
        <w:rPr>
          <w:rFonts w:hint="eastAsia" w:ascii="宋体" w:hAnsi="宋体"/>
        </w:rPr>
        <w:t>需要提交的相关证明材料见本章第3.5款的规定。</w:t>
      </w:r>
    </w:p>
    <w:p>
      <w:pPr>
        <w:spacing w:line="400" w:lineRule="exact"/>
        <w:ind w:firstLine="480" w:firstLineChars="200"/>
        <w:rPr>
          <w:rFonts w:ascii="宋体" w:hAnsi="宋体"/>
          <w:color w:val="000000"/>
        </w:rPr>
      </w:pPr>
      <w:r>
        <w:rPr>
          <w:rFonts w:ascii="宋体" w:hAnsi="宋体"/>
        </w:rPr>
        <w:t>1.4.2</w:t>
      </w:r>
      <w:r>
        <w:rPr>
          <w:rFonts w:hint="eastAsia" w:ascii="宋体" w:hAnsi="宋体"/>
        </w:rPr>
        <w:t xml:space="preserve"> 投标人须知前附表规定接受联合体投标的，</w:t>
      </w:r>
      <w:r>
        <w:rPr>
          <w:rFonts w:hint="eastAsia" w:ascii="宋体" w:hAnsi="宋体"/>
          <w:color w:val="000000"/>
        </w:rPr>
        <w:t>联合体除应符合本章第1.4.1项和投标人须知前附表的要求外，还应遵守以下规定：</w:t>
      </w:r>
    </w:p>
    <w:p>
      <w:pPr>
        <w:spacing w:line="400" w:lineRule="exact"/>
        <w:ind w:firstLine="360" w:firstLineChars="150"/>
        <w:rPr>
          <w:rFonts w:ascii="宋体" w:hAnsi="宋体"/>
        </w:rPr>
      </w:pPr>
      <w:r>
        <w:rPr>
          <w:rFonts w:hint="eastAsia" w:ascii="宋体" w:hAnsi="宋体"/>
        </w:rPr>
        <w:t>（1）联合体各方应按招标文件提供的格式签订联合体协议书，明确联合体牵头人和各方权利义务，并承诺就中标项目向招标人承担连带责任；</w:t>
      </w:r>
    </w:p>
    <w:p>
      <w:pPr>
        <w:spacing w:line="400" w:lineRule="exact"/>
        <w:ind w:firstLine="360" w:firstLineChars="150"/>
        <w:rPr>
          <w:rFonts w:ascii="宋体" w:hAnsi="宋体"/>
        </w:rPr>
      </w:pPr>
      <w:r>
        <w:rPr>
          <w:rFonts w:hint="eastAsia" w:ascii="宋体" w:hAnsi="宋体"/>
        </w:rPr>
        <w:t>（2）由同一专业的单位组成的联合体，按照资质等级较低的单位确定资质等级；</w:t>
      </w:r>
    </w:p>
    <w:p>
      <w:pPr>
        <w:spacing w:line="400" w:lineRule="exact"/>
        <w:ind w:firstLine="360" w:firstLineChars="150"/>
        <w:rPr>
          <w:rFonts w:ascii="宋体" w:hAnsi="宋体"/>
          <w:color w:val="F79646"/>
        </w:rPr>
      </w:pPr>
      <w:r>
        <w:rPr>
          <w:rFonts w:hint="eastAsia" w:ascii="宋体" w:hAnsi="宋体"/>
        </w:rPr>
        <w:t>（</w:t>
      </w:r>
      <w:r>
        <w:rPr>
          <w:rFonts w:ascii="宋体" w:hAnsi="宋体"/>
        </w:rPr>
        <w:t>3</w:t>
      </w:r>
      <w:r>
        <w:rPr>
          <w:rFonts w:hint="eastAsia" w:ascii="宋体" w:hAnsi="宋体"/>
        </w:rPr>
        <w:t>）联合体各方不得再以自己名义单独或参加其他联合体在同一标段中投标；</w:t>
      </w:r>
    </w:p>
    <w:p>
      <w:pPr>
        <w:spacing w:line="400" w:lineRule="exact"/>
        <w:ind w:firstLine="360" w:firstLineChars="150"/>
        <w:rPr>
          <w:rFonts w:ascii="宋体" w:hAnsi="宋体" w:cs="楷体"/>
          <w:bCs/>
          <w:snapToGrid w:val="0"/>
          <w:kern w:val="0"/>
          <w:szCs w:val="21"/>
        </w:rPr>
      </w:pPr>
      <w:r>
        <w:rPr>
          <w:rFonts w:hint="eastAsia" w:ascii="宋体" w:hAnsi="宋体" w:cs="楷体"/>
          <w:bCs/>
          <w:snapToGrid w:val="0"/>
          <w:kern w:val="0"/>
          <w:szCs w:val="21"/>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400" w:lineRule="exact"/>
        <w:ind w:firstLine="360" w:firstLineChars="150"/>
        <w:rPr>
          <w:rFonts w:ascii="宋体" w:hAnsi="宋体"/>
        </w:rPr>
      </w:pPr>
      <w:r>
        <w:rPr>
          <w:rFonts w:hint="eastAsia" w:ascii="宋体" w:hAnsi="宋体" w:cs="楷体"/>
          <w:bCs/>
          <w:snapToGrid w:val="0"/>
          <w:kern w:val="0"/>
          <w:szCs w:val="21"/>
        </w:rPr>
        <w:t>（5）尽管委任了联合体牵头人，但联合体各成员在投标、签约与履行合同过程中，仍负有连带的和各自的法律责任。</w:t>
      </w:r>
    </w:p>
    <w:p>
      <w:pPr>
        <w:spacing w:line="400" w:lineRule="exact"/>
        <w:ind w:firstLine="480" w:firstLineChars="200"/>
        <w:rPr>
          <w:rFonts w:ascii="宋体" w:hAnsi="宋体"/>
          <w:color w:val="000000"/>
          <w:szCs w:val="21"/>
        </w:rPr>
      </w:pPr>
      <w:r>
        <w:rPr>
          <w:rFonts w:ascii="宋体" w:hAnsi="宋体"/>
          <w:color w:val="000000"/>
          <w:szCs w:val="21"/>
        </w:rPr>
        <w:t>1.4.3</w:t>
      </w:r>
      <w:r>
        <w:rPr>
          <w:rFonts w:hint="eastAsia" w:ascii="宋体" w:hAnsi="宋体"/>
          <w:color w:val="000000"/>
          <w:szCs w:val="21"/>
        </w:rPr>
        <w:t xml:space="preserve"> </w:t>
      </w:r>
      <w:r>
        <w:rPr>
          <w:rFonts w:hint="eastAsia" w:ascii="宋体" w:hAnsi="宋体"/>
          <w:snapToGrid w:val="0"/>
          <w:color w:val="000000"/>
          <w:kern w:val="0"/>
          <w:szCs w:val="21"/>
          <w:shd w:val="clear" w:color="auto" w:fill="FFFFFF"/>
          <w:lang w:val="zh-CN"/>
        </w:rPr>
        <w:t>投标人（包括联合体各成员</w:t>
      </w:r>
      <w:r>
        <w:rPr>
          <w:rFonts w:hint="eastAsia" w:ascii="宋体" w:hAnsi="宋体"/>
          <w:snapToGrid w:val="0"/>
          <w:color w:val="000000"/>
          <w:kern w:val="0"/>
          <w:szCs w:val="21"/>
          <w:shd w:val="clear" w:color="auto" w:fill="FFFFFF"/>
        </w:rPr>
        <w:t>）</w:t>
      </w:r>
      <w:r>
        <w:rPr>
          <w:rFonts w:hint="eastAsia" w:ascii="宋体" w:hAnsi="宋体"/>
          <w:snapToGrid w:val="0"/>
          <w:color w:val="000000"/>
          <w:kern w:val="0"/>
          <w:szCs w:val="21"/>
          <w:shd w:val="clear" w:color="auto" w:fill="FFFFFF"/>
          <w:lang w:val="zh-CN"/>
        </w:rPr>
        <w:t>不得与本标段相关单位存在下列关联关系</w:t>
      </w:r>
      <w:r>
        <w:rPr>
          <w:rFonts w:ascii="宋体" w:hAnsi="宋体"/>
          <w:snapToGrid w:val="0"/>
          <w:color w:val="000000"/>
          <w:kern w:val="0"/>
          <w:szCs w:val="21"/>
          <w:shd w:val="clear" w:color="auto" w:fill="FFFFFF"/>
          <w:lang w:val="zh-CN"/>
        </w:rPr>
        <w:t>：</w:t>
      </w:r>
    </w:p>
    <w:p>
      <w:pPr>
        <w:spacing w:line="400" w:lineRule="exact"/>
        <w:ind w:firstLine="480" w:firstLineChars="200"/>
        <w:rPr>
          <w:rFonts w:ascii="宋体" w:hAnsi="宋体"/>
          <w:color w:val="000000"/>
          <w:szCs w:val="21"/>
        </w:rPr>
      </w:pPr>
      <w:r>
        <w:rPr>
          <w:rFonts w:hint="eastAsia" w:ascii="宋体" w:hAnsi="宋体"/>
          <w:color w:val="000000"/>
          <w:szCs w:val="21"/>
        </w:rPr>
        <w:t>（1）为招标人不具有独立法人资格的附属机构（单位）；</w:t>
      </w:r>
    </w:p>
    <w:p>
      <w:pPr>
        <w:spacing w:line="400" w:lineRule="exact"/>
        <w:ind w:firstLine="480" w:firstLineChars="200"/>
        <w:rPr>
          <w:rFonts w:ascii="宋体" w:hAnsi="宋体"/>
          <w:color w:val="000000"/>
          <w:szCs w:val="21"/>
        </w:rPr>
      </w:pPr>
      <w:r>
        <w:rPr>
          <w:rFonts w:hint="eastAsia" w:ascii="宋体" w:hAnsi="宋体"/>
          <w:color w:val="000000"/>
          <w:szCs w:val="21"/>
        </w:rPr>
        <w:t>（2）与招标人存在利害关系且可能影响招标公正性；</w:t>
      </w:r>
    </w:p>
    <w:p>
      <w:pPr>
        <w:spacing w:line="400" w:lineRule="exact"/>
        <w:ind w:firstLine="480" w:firstLineChars="200"/>
        <w:rPr>
          <w:rFonts w:ascii="宋体" w:hAnsi="宋体"/>
          <w:color w:val="000000"/>
          <w:szCs w:val="21"/>
        </w:rPr>
      </w:pPr>
      <w:r>
        <w:rPr>
          <w:rFonts w:hint="eastAsia" w:ascii="宋体" w:hAnsi="宋体"/>
          <w:color w:val="000000"/>
          <w:szCs w:val="21"/>
        </w:rPr>
        <w:t>（3）与本招标项目的其他投标人为同一个单位负责人；</w:t>
      </w:r>
    </w:p>
    <w:p>
      <w:pPr>
        <w:spacing w:line="400" w:lineRule="exact"/>
        <w:ind w:firstLine="480" w:firstLineChars="200"/>
        <w:rPr>
          <w:rFonts w:ascii="宋体" w:hAnsi="宋体"/>
          <w:color w:val="000000"/>
          <w:szCs w:val="21"/>
        </w:rPr>
      </w:pPr>
      <w:r>
        <w:rPr>
          <w:rFonts w:hint="eastAsia" w:ascii="宋体" w:hAnsi="宋体"/>
          <w:color w:val="000000"/>
          <w:szCs w:val="21"/>
        </w:rPr>
        <w:t>（4）与本招标项目的其他投标人存在控股、管理关系；</w:t>
      </w:r>
    </w:p>
    <w:p>
      <w:pPr>
        <w:spacing w:line="400" w:lineRule="exact"/>
        <w:ind w:firstLine="48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）为本招标项目的代建人；</w:t>
      </w:r>
    </w:p>
    <w:p>
      <w:pPr>
        <w:spacing w:line="400" w:lineRule="exact"/>
        <w:ind w:firstLine="48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）为本招标项目的招标代理机构；</w:t>
      </w:r>
    </w:p>
    <w:p>
      <w:pPr>
        <w:spacing w:line="400" w:lineRule="exact"/>
        <w:ind w:firstLine="48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）与本招标项目的代建人或招标代理机构同为一个法定代表人；</w:t>
      </w:r>
    </w:p>
    <w:p>
      <w:pPr>
        <w:spacing w:line="400" w:lineRule="exact"/>
        <w:ind w:firstLine="48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）与本招标项目的代建人或招标代理机构存在控股或参股关系；</w:t>
      </w:r>
    </w:p>
    <w:p>
      <w:pPr>
        <w:spacing w:line="400" w:lineRule="exact"/>
        <w:ind w:firstLine="48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）与本工程项目的施工承包人以及建筑材料、建筑构配件和设备供应商有隶属关系或者其他利害关系；</w:t>
      </w:r>
    </w:p>
    <w:p>
      <w:pPr>
        <w:spacing w:line="400" w:lineRule="exact"/>
        <w:ind w:firstLine="480" w:firstLineChars="200"/>
        <w:rPr>
          <w:rFonts w:ascii="宋体" w:hAnsi="宋体"/>
          <w:color w:val="00000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）法律法规或投标人须知前附表规定的其他情形。</w:t>
      </w:r>
    </w:p>
    <w:p>
      <w:pPr>
        <w:tabs>
          <w:tab w:val="left" w:pos="3828"/>
        </w:tabs>
        <w:spacing w:line="440" w:lineRule="exact"/>
        <w:ind w:firstLine="520"/>
        <w:rPr>
          <w:rFonts w:ascii="Times New Roman" w:hAnsi="Times New Roman" w:cs="楷体"/>
          <w:bCs/>
          <w:snapToGrid w:val="0"/>
          <w:color w:val="000000"/>
          <w:kern w:val="0"/>
          <w:szCs w:val="21"/>
        </w:rPr>
      </w:pPr>
      <w:r>
        <w:rPr>
          <w:rFonts w:ascii="Times New Roman" w:hAnsi="Times New Roman" w:cs="楷体"/>
          <w:bCs/>
          <w:snapToGrid w:val="0"/>
          <w:color w:val="000000"/>
          <w:kern w:val="0"/>
          <w:szCs w:val="21"/>
        </w:rPr>
        <w:t>1.4.4</w:t>
      </w:r>
      <w:r>
        <w:rPr>
          <w:rFonts w:hint="eastAsia" w:ascii="Times New Roman" w:hAnsi="Times New Roman" w:cs="楷体"/>
          <w:bCs/>
          <w:snapToGrid w:val="0"/>
          <w:color w:val="000000"/>
          <w:kern w:val="0"/>
          <w:szCs w:val="21"/>
        </w:rPr>
        <w:t xml:space="preserve"> 投标人（包括联合体各成员）不得存在下列不良状况或不良信用记录：</w:t>
      </w:r>
    </w:p>
    <w:p>
      <w:pPr>
        <w:tabs>
          <w:tab w:val="left" w:pos="3828"/>
        </w:tabs>
        <w:spacing w:line="440" w:lineRule="exact"/>
        <w:ind w:firstLine="52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（1）被</w:t>
      </w:r>
      <w:bookmarkStart w:id="19" w:name="_Hlk26632162"/>
      <w:r>
        <w:rPr>
          <w:rFonts w:hint="eastAsia" w:ascii="Times New Roman" w:hAnsi="Times New Roman"/>
          <w:bCs/>
          <w:snapToGrid w:val="0"/>
          <w:color w:val="000000"/>
          <w:kern w:val="0"/>
          <w:szCs w:val="21"/>
        </w:rPr>
        <w:t>设区的</w:t>
      </w:r>
      <w:bookmarkEnd w:id="19"/>
      <w:r>
        <w:rPr>
          <w:rFonts w:hint="eastAsia" w:ascii="Times New Roman" w:hAnsi="Times New Roman" w:cs="楷体"/>
          <w:bCs/>
          <w:snapToGrid w:val="0"/>
          <w:color w:val="000000"/>
          <w:kern w:val="0"/>
          <w:szCs w:val="21"/>
        </w:rPr>
        <w:t>市级及以上</w:t>
      </w:r>
      <w:r>
        <w:rPr>
          <w:rFonts w:hint="eastAsia" w:ascii="Times New Roman" w:hAnsi="Times New Roman" w:eastAsia="宋体" w:cs="楷体"/>
          <w:bCs/>
          <w:snapToGrid w:val="0"/>
          <w:color w:val="000000"/>
          <w:kern w:val="0"/>
          <w:szCs w:val="21"/>
          <w:lang w:eastAsia="zh-CN"/>
        </w:rPr>
        <w:t>服务</w:t>
      </w:r>
      <w:r>
        <w:rPr>
          <w:rFonts w:hint="eastAsia" w:ascii="Times New Roman" w:hAnsi="Times New Roman" w:cs="楷体"/>
          <w:bCs/>
          <w:snapToGrid w:val="0"/>
          <w:color w:val="000000"/>
          <w:kern w:val="0"/>
          <w:szCs w:val="21"/>
        </w:rPr>
        <w:t>行政主管部门/房屋建筑和市政基础设施工程招标投标活动的监督部门暂停或取消本次招标项目工程所在地或公共资源交易平台所在地的投标资格或禁止进入安徽合肥公共资源交易平台，且处于有效期内；</w:t>
      </w:r>
    </w:p>
    <w:p>
      <w:pPr>
        <w:tabs>
          <w:tab w:val="left" w:pos="3828"/>
        </w:tabs>
        <w:spacing w:line="440" w:lineRule="exact"/>
        <w:ind w:firstLine="52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（2）在最近三年内（自投标截止之日向前追溯3年，下同）有骗取中标或严重违约或重大设计质量问题的（以相关行业主管部门的行政处罚决定或司法机关出具的有关法律文书为准）；</w:t>
      </w:r>
    </w:p>
    <w:p>
      <w:pPr>
        <w:tabs>
          <w:tab w:val="left" w:pos="3828"/>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3</w:t>
      </w:r>
      <w:r>
        <w:rPr>
          <w:rFonts w:hint="eastAsia" w:ascii="Times New Roman" w:hAnsi="Times New Roman" w:cs="楷体"/>
          <w:bCs/>
          <w:snapToGrid w:val="0"/>
          <w:color w:val="000000"/>
          <w:kern w:val="0"/>
          <w:szCs w:val="21"/>
        </w:rPr>
        <w:t>）被责令停业，暂扣或吊销执照，或吊销资质证书；</w:t>
      </w:r>
    </w:p>
    <w:p>
      <w:pPr>
        <w:tabs>
          <w:tab w:val="left" w:pos="3828"/>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4</w:t>
      </w:r>
      <w:r>
        <w:rPr>
          <w:rFonts w:hint="eastAsia" w:ascii="Times New Roman" w:hAnsi="Times New Roman" w:cs="楷体"/>
          <w:bCs/>
          <w:snapToGrid w:val="0"/>
          <w:color w:val="000000"/>
          <w:kern w:val="0"/>
          <w:szCs w:val="21"/>
        </w:rPr>
        <w:t>）进入清算程序，或被宣告破产，或其他丧失履约能力的情形；</w:t>
      </w:r>
    </w:p>
    <w:p>
      <w:pPr>
        <w:tabs>
          <w:tab w:val="left" w:pos="3828"/>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5</w:t>
      </w:r>
      <w:r>
        <w:rPr>
          <w:rFonts w:hint="eastAsia" w:ascii="Times New Roman" w:hAnsi="Times New Roman" w:cs="楷体"/>
          <w:bCs/>
          <w:snapToGrid w:val="0"/>
          <w:color w:val="000000"/>
          <w:kern w:val="0"/>
          <w:szCs w:val="21"/>
        </w:rPr>
        <w:t>）在国家企业信用信息公示系统（http://www.gsxt.gov.cn/）中被列入严重违法失信企业名单；</w:t>
      </w:r>
    </w:p>
    <w:p>
      <w:pPr>
        <w:tabs>
          <w:tab w:val="left" w:pos="3828"/>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6</w:t>
      </w:r>
      <w:r>
        <w:rPr>
          <w:rFonts w:hint="eastAsia" w:ascii="Times New Roman" w:hAnsi="Times New Roman" w:cs="楷体"/>
          <w:bCs/>
          <w:snapToGrid w:val="0"/>
          <w:color w:val="000000"/>
          <w:kern w:val="0"/>
          <w:szCs w:val="21"/>
        </w:rPr>
        <w:t>）在“信用中国”网站（http://www.creditchina.gov.cn/）中被列入失信被执行人名单；</w:t>
      </w:r>
    </w:p>
    <w:p>
      <w:pPr>
        <w:tabs>
          <w:tab w:val="left" w:pos="3828"/>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7</w:t>
      </w:r>
      <w:r>
        <w:rPr>
          <w:rFonts w:hint="eastAsia" w:ascii="Times New Roman" w:hAnsi="Times New Roman" w:cs="楷体"/>
          <w:bCs/>
          <w:snapToGrid w:val="0"/>
          <w:color w:val="000000"/>
          <w:kern w:val="0"/>
          <w:szCs w:val="21"/>
        </w:rPr>
        <w:t>）在“信用中国”网站（http://www.creditchina.gov.cn/）中被列入重大税收违法案件当事人名单的；</w:t>
      </w:r>
    </w:p>
    <w:p>
      <w:pPr>
        <w:tabs>
          <w:tab w:val="left" w:pos="3828"/>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8</w:t>
      </w:r>
      <w:r>
        <w:rPr>
          <w:rFonts w:hint="eastAsia" w:ascii="Times New Roman" w:hAnsi="Times New Roman" w:cs="楷体"/>
          <w:bCs/>
          <w:snapToGrid w:val="0"/>
          <w:color w:val="000000"/>
          <w:kern w:val="0"/>
          <w:szCs w:val="21"/>
        </w:rPr>
        <w:t>）投标人或其法定代表人、拟委任的项目负责人在近三年内有行贿犯罪行为的；</w:t>
      </w:r>
    </w:p>
    <w:p>
      <w:pPr>
        <w:tabs>
          <w:tab w:val="left" w:pos="3828"/>
        </w:tabs>
        <w:spacing w:line="440" w:lineRule="exact"/>
        <w:ind w:firstLine="480" w:firstLineChars="200"/>
        <w:rPr>
          <w:rFonts w:ascii="宋体" w:hAnsi="宋体"/>
          <w:color w:val="000000"/>
          <w:szCs w:val="21"/>
        </w:rPr>
      </w:pPr>
      <w:r>
        <w:rPr>
          <w:rFonts w:hint="eastAsia" w:ascii="宋体" w:hAnsi="宋体"/>
        </w:rPr>
        <w:t>（</w:t>
      </w:r>
      <w:r>
        <w:rPr>
          <w:rFonts w:ascii="宋体" w:hAnsi="宋体"/>
        </w:rPr>
        <w:t>9</w:t>
      </w:r>
      <w:r>
        <w:rPr>
          <w:rFonts w:hint="eastAsia" w:ascii="宋体" w:hAnsi="宋体"/>
        </w:rPr>
        <w:t>）法律法规或投标人须知前附表规定的其他情形。</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1.5 </w:t>
      </w:r>
      <w:r>
        <w:rPr>
          <w:rFonts w:hint="eastAsia" w:ascii="宋体" w:hAnsi="宋体" w:eastAsia="宋体"/>
          <w:color w:val="000000"/>
          <w:sz w:val="24"/>
          <w:szCs w:val="24"/>
        </w:rPr>
        <w:t>费用承担</w:t>
      </w:r>
    </w:p>
    <w:p>
      <w:pPr>
        <w:spacing w:line="400" w:lineRule="exact"/>
        <w:ind w:firstLine="480" w:firstLineChars="200"/>
        <w:rPr>
          <w:rFonts w:ascii="宋体" w:hAnsi="宋体"/>
        </w:rPr>
      </w:pPr>
      <w:r>
        <w:rPr>
          <w:rFonts w:hint="eastAsia" w:ascii="宋体" w:hAnsi="宋体"/>
        </w:rPr>
        <w:t>投标人准备和参加投标活动发生的费用自理。</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1.6</w:t>
      </w:r>
      <w:r>
        <w:rPr>
          <w:rFonts w:hint="eastAsia" w:ascii="宋体" w:hAnsi="宋体" w:eastAsia="宋体"/>
          <w:color w:val="000000"/>
          <w:sz w:val="24"/>
          <w:szCs w:val="24"/>
        </w:rPr>
        <w:t xml:space="preserve"> 保密</w:t>
      </w:r>
    </w:p>
    <w:p>
      <w:pPr>
        <w:spacing w:line="400" w:lineRule="exact"/>
        <w:ind w:firstLine="480" w:firstLineChars="200"/>
        <w:rPr>
          <w:rFonts w:ascii="宋体" w:hAnsi="宋体"/>
          <w:color w:val="000000"/>
        </w:rPr>
      </w:pPr>
      <w:r>
        <w:rPr>
          <w:rFonts w:hint="eastAsia" w:ascii="宋体" w:hAnsi="宋体"/>
          <w:color w:val="000000"/>
        </w:rPr>
        <w:t>参与招标投标活动的各方应对招标文件和投标文件中</w:t>
      </w:r>
      <w:bookmarkStart w:id="20" w:name="_Toc352691477"/>
      <w:bookmarkStart w:id="21" w:name="_Toc384308214"/>
      <w:bookmarkStart w:id="22" w:name="_Toc361508589"/>
      <w:bookmarkStart w:id="23" w:name="_Toc5326"/>
      <w:bookmarkStart w:id="24" w:name="_Toc369531519"/>
      <w:r>
        <w:rPr>
          <w:rFonts w:hint="eastAsia" w:ascii="宋体" w:hAnsi="宋体"/>
          <w:color w:val="000000"/>
        </w:rPr>
        <w:t>的商业和技术等秘密保密</w:t>
      </w:r>
      <w:bookmarkEnd w:id="20"/>
      <w:bookmarkEnd w:id="21"/>
      <w:bookmarkEnd w:id="22"/>
      <w:bookmarkEnd w:id="23"/>
      <w:bookmarkEnd w:id="24"/>
      <w:r>
        <w:rPr>
          <w:rFonts w:hint="eastAsia" w:ascii="宋体" w:hAnsi="宋体"/>
          <w:color w:val="000000"/>
        </w:rPr>
        <w:t>，否则应承担相应的法律责任。</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1.7</w:t>
      </w:r>
      <w:r>
        <w:rPr>
          <w:rFonts w:hint="eastAsia" w:ascii="宋体" w:hAnsi="宋体" w:eastAsia="宋体"/>
          <w:color w:val="000000"/>
          <w:sz w:val="24"/>
          <w:szCs w:val="24"/>
        </w:rPr>
        <w:t xml:space="preserve"> 语言文字</w:t>
      </w:r>
    </w:p>
    <w:p>
      <w:pPr>
        <w:spacing w:line="400" w:lineRule="exact"/>
        <w:ind w:firstLine="480" w:firstLineChars="200"/>
        <w:rPr>
          <w:rFonts w:ascii="宋体" w:hAnsi="宋体"/>
          <w:color w:val="000000"/>
        </w:rPr>
      </w:pPr>
      <w:r>
        <w:rPr>
          <w:rFonts w:hint="eastAsia" w:ascii="宋体" w:hAnsi="宋体"/>
          <w:color w:val="000000"/>
        </w:rPr>
        <w:t>招标投标文件使用的语言文字为中文。专用术语使用外文的，应附有中文注释。</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1.8</w:t>
      </w:r>
      <w:r>
        <w:rPr>
          <w:rFonts w:hint="eastAsia" w:ascii="宋体" w:hAnsi="宋体" w:eastAsia="宋体"/>
          <w:color w:val="000000"/>
          <w:sz w:val="24"/>
          <w:szCs w:val="24"/>
        </w:rPr>
        <w:t xml:space="preserve"> 计量单位</w:t>
      </w:r>
    </w:p>
    <w:p>
      <w:pPr>
        <w:spacing w:line="400" w:lineRule="exact"/>
        <w:ind w:firstLine="480" w:firstLineChars="200"/>
        <w:rPr>
          <w:rFonts w:ascii="宋体" w:hAnsi="宋体"/>
          <w:color w:val="000000"/>
        </w:rPr>
      </w:pPr>
      <w:r>
        <w:rPr>
          <w:rFonts w:hint="eastAsia" w:ascii="宋体" w:hAnsi="宋体"/>
          <w:color w:val="000000"/>
        </w:rPr>
        <w:t>所有计量均采用中华人民共和国法定计量单位。</w:t>
      </w:r>
    </w:p>
    <w:p>
      <w:pPr>
        <w:pStyle w:val="5"/>
        <w:spacing w:line="240" w:lineRule="auto"/>
        <w:ind w:firstLine="118"/>
        <w:rPr>
          <w:rFonts w:ascii="宋体" w:hAnsi="宋体" w:eastAsia="宋体"/>
          <w:color w:val="000000"/>
          <w:sz w:val="24"/>
          <w:szCs w:val="24"/>
        </w:rPr>
      </w:pPr>
      <w:bookmarkStart w:id="25" w:name="_Toc370676289"/>
      <w:bookmarkStart w:id="26" w:name="_Toc247513962"/>
      <w:bookmarkStart w:id="27" w:name="_Toc152045539"/>
      <w:bookmarkStart w:id="28" w:name="_Toc144974507"/>
      <w:bookmarkStart w:id="29" w:name="_Toc300834959"/>
      <w:bookmarkStart w:id="30" w:name="_Toc152042315"/>
      <w:bookmarkStart w:id="31" w:name="_Toc384308219"/>
      <w:bookmarkStart w:id="32" w:name="_Toc361508594"/>
      <w:bookmarkStart w:id="33" w:name="_Toc391393967"/>
      <w:bookmarkStart w:id="34" w:name="_Toc247527563"/>
      <w:bookmarkStart w:id="35" w:name="_Toc482188480"/>
      <w:r>
        <w:rPr>
          <w:rFonts w:ascii="宋体" w:hAnsi="宋体" w:eastAsia="宋体"/>
          <w:color w:val="000000"/>
          <w:sz w:val="24"/>
          <w:szCs w:val="24"/>
        </w:rPr>
        <w:t xml:space="preserve">1.9 </w:t>
      </w:r>
      <w:r>
        <w:rPr>
          <w:rFonts w:hint="eastAsia" w:ascii="宋体" w:hAnsi="宋体" w:eastAsia="宋体"/>
          <w:color w:val="000000"/>
          <w:sz w:val="24"/>
          <w:szCs w:val="24"/>
        </w:rPr>
        <w:t>踏勘现场</w:t>
      </w:r>
      <w:bookmarkEnd w:id="25"/>
      <w:bookmarkEnd w:id="26"/>
      <w:bookmarkEnd w:id="27"/>
      <w:bookmarkEnd w:id="28"/>
      <w:bookmarkEnd w:id="29"/>
      <w:bookmarkEnd w:id="30"/>
      <w:bookmarkEnd w:id="31"/>
      <w:bookmarkEnd w:id="32"/>
      <w:bookmarkEnd w:id="33"/>
      <w:bookmarkEnd w:id="34"/>
      <w:bookmarkEnd w:id="35"/>
    </w:p>
    <w:p>
      <w:pPr>
        <w:spacing w:line="400" w:lineRule="exact"/>
        <w:ind w:firstLine="480" w:firstLineChars="200"/>
        <w:rPr>
          <w:rFonts w:ascii="宋体" w:hAnsi="宋体"/>
          <w:color w:val="000000"/>
        </w:rPr>
      </w:pPr>
      <w:r>
        <w:rPr>
          <w:rFonts w:ascii="宋体" w:hAnsi="宋体"/>
          <w:color w:val="000000"/>
        </w:rPr>
        <w:t xml:space="preserve">1.9.1 </w:t>
      </w:r>
      <w:r>
        <w:rPr>
          <w:rFonts w:hint="eastAsia" w:ascii="宋体" w:hAnsi="宋体"/>
          <w:color w:val="000000"/>
        </w:rPr>
        <w:t>投标人须知前附表规定组织踏勘现场的，招标人按投标人须知前附表规定的时间、地点组织投标人踏勘项目现场。部分投标人未按时参加踏勘现场的，不影响踏勘现场的正常进行。</w:t>
      </w:r>
      <w:r>
        <w:rPr>
          <w:rFonts w:hint="eastAsia" w:ascii="Times New Roman" w:hAnsi="Times New Roman" w:cs="楷体"/>
          <w:bCs/>
          <w:snapToGrid w:val="0"/>
          <w:color w:val="000000"/>
          <w:kern w:val="0"/>
          <w:szCs w:val="21"/>
        </w:rPr>
        <w:t>招标人不得组织单个或部分投标人踏勘项目现场。</w:t>
      </w:r>
    </w:p>
    <w:p>
      <w:pPr>
        <w:spacing w:line="400" w:lineRule="exact"/>
        <w:ind w:firstLine="480" w:firstLineChars="200"/>
        <w:rPr>
          <w:rFonts w:ascii="宋体" w:hAnsi="宋体"/>
          <w:color w:val="000000"/>
        </w:rPr>
      </w:pPr>
      <w:r>
        <w:rPr>
          <w:rFonts w:ascii="宋体" w:hAnsi="宋体"/>
          <w:color w:val="000000"/>
        </w:rPr>
        <w:t xml:space="preserve">1.9.2 </w:t>
      </w:r>
      <w:r>
        <w:rPr>
          <w:rFonts w:hint="eastAsia" w:ascii="宋体" w:hAnsi="宋体"/>
          <w:color w:val="000000"/>
        </w:rPr>
        <w:t>投标人踏勘现场发生的费用自理。</w:t>
      </w:r>
    </w:p>
    <w:p>
      <w:pPr>
        <w:spacing w:line="400" w:lineRule="exact"/>
        <w:ind w:firstLine="480" w:firstLineChars="200"/>
        <w:rPr>
          <w:rFonts w:ascii="宋体" w:hAnsi="宋体"/>
          <w:color w:val="000000"/>
        </w:rPr>
      </w:pPr>
      <w:r>
        <w:rPr>
          <w:rFonts w:ascii="宋体" w:hAnsi="宋体"/>
          <w:color w:val="000000"/>
        </w:rPr>
        <w:t xml:space="preserve">1.9.3 </w:t>
      </w:r>
      <w:r>
        <w:rPr>
          <w:rFonts w:hint="eastAsia" w:ascii="宋体" w:hAnsi="宋体"/>
          <w:color w:val="000000"/>
        </w:rPr>
        <w:t>除招标人的原因外，投标人自行负责在踏勘现场中所发生的人员伤亡和财产损失。</w:t>
      </w:r>
    </w:p>
    <w:p>
      <w:pPr>
        <w:spacing w:line="400" w:lineRule="exact"/>
        <w:ind w:firstLine="480" w:firstLineChars="200"/>
        <w:rPr>
          <w:rFonts w:ascii="宋体" w:hAnsi="宋体"/>
          <w:color w:val="000000"/>
        </w:rPr>
      </w:pPr>
      <w:r>
        <w:rPr>
          <w:rFonts w:ascii="宋体" w:hAnsi="宋体"/>
          <w:color w:val="000000"/>
        </w:rPr>
        <w:t xml:space="preserve">1.9.4 </w:t>
      </w:r>
      <w:r>
        <w:rPr>
          <w:rFonts w:hint="eastAsia" w:ascii="宋体" w:hAnsi="宋体"/>
          <w:color w:val="000000"/>
        </w:rPr>
        <w:t>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000000"/>
        </w:rPr>
      </w:pPr>
      <w:r>
        <w:rPr>
          <w:rFonts w:hint="eastAsia" w:ascii="Times New Roman" w:hAnsi="Times New Roman" w:cs="楷体"/>
          <w:bCs/>
          <w:snapToGrid w:val="0"/>
          <w:color w:val="000000"/>
          <w:kern w:val="0"/>
          <w:szCs w:val="21"/>
        </w:rPr>
        <w:t>1.9.5 无论投标人是否到施工现场实地踏勘，中标后签订合同时和履约过程中，投标人不得以不完全了解现场情况或现场情况与招标文件描述不一致等为由，提出任何形式的增加设计费用或索赔的要求。</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1.10</w:t>
      </w:r>
      <w:r>
        <w:rPr>
          <w:rFonts w:hint="eastAsia" w:ascii="宋体" w:hAnsi="宋体" w:eastAsia="宋体"/>
          <w:color w:val="000000"/>
          <w:sz w:val="24"/>
          <w:szCs w:val="24"/>
        </w:rPr>
        <w:t xml:space="preserve"> 投标预备会</w:t>
      </w:r>
    </w:p>
    <w:p>
      <w:pPr>
        <w:spacing w:line="400" w:lineRule="exact"/>
        <w:ind w:firstLine="480" w:firstLineChars="200"/>
        <w:rPr>
          <w:rFonts w:ascii="宋体" w:hAnsi="宋体"/>
          <w:color w:val="000000"/>
        </w:rPr>
      </w:pPr>
      <w:r>
        <w:rPr>
          <w:rFonts w:ascii="宋体" w:hAnsi="宋体"/>
          <w:color w:val="000000"/>
        </w:rPr>
        <w:t>1.</w:t>
      </w:r>
      <w:r>
        <w:rPr>
          <w:rFonts w:ascii="宋体" w:hAnsi="宋体"/>
        </w:rPr>
        <w:t>10</w:t>
      </w:r>
      <w:r>
        <w:rPr>
          <w:rFonts w:ascii="宋体" w:hAnsi="宋体"/>
          <w:color w:val="000000"/>
        </w:rPr>
        <w:t xml:space="preserve">.1 </w:t>
      </w:r>
      <w:r>
        <w:rPr>
          <w:rFonts w:hint="eastAsia" w:ascii="宋体" w:hAnsi="宋体"/>
          <w:color w:val="000000"/>
        </w:rPr>
        <w:t>投标人须知前附表规定召开投标预备会的，招标人按投标人须知前附表规定的时间和地点召开投标预备会，澄清投标人提出的问题。</w:t>
      </w:r>
    </w:p>
    <w:p>
      <w:pPr>
        <w:spacing w:line="400" w:lineRule="exact"/>
        <w:ind w:firstLine="480" w:firstLineChars="200"/>
        <w:rPr>
          <w:rFonts w:ascii="宋体" w:hAnsi="宋体"/>
          <w:color w:val="000000"/>
        </w:rPr>
      </w:pPr>
      <w:r>
        <w:rPr>
          <w:rFonts w:ascii="宋体" w:hAnsi="宋体"/>
          <w:color w:val="000000"/>
        </w:rPr>
        <w:t>1.</w:t>
      </w:r>
      <w:r>
        <w:rPr>
          <w:rFonts w:ascii="宋体" w:hAnsi="宋体"/>
        </w:rPr>
        <w:t>10</w:t>
      </w:r>
      <w:r>
        <w:rPr>
          <w:rFonts w:ascii="宋体" w:hAnsi="宋体"/>
          <w:color w:val="000000"/>
        </w:rPr>
        <w:t xml:space="preserve">.2 </w:t>
      </w:r>
      <w:r>
        <w:rPr>
          <w:rFonts w:hint="eastAsia" w:ascii="宋体" w:hAnsi="宋体"/>
          <w:color w:val="000000"/>
        </w:rPr>
        <w:t>投标人应按投标人须知前附表规定的时间和形式将提出的问题送达招标人，以便招标人在会议期间澄清。</w:t>
      </w:r>
    </w:p>
    <w:p>
      <w:pPr>
        <w:spacing w:line="400" w:lineRule="exact"/>
        <w:ind w:firstLine="480" w:firstLineChars="200"/>
        <w:rPr>
          <w:rFonts w:ascii="宋体" w:hAnsi="宋体"/>
          <w:color w:val="000000"/>
        </w:rPr>
      </w:pPr>
      <w:r>
        <w:rPr>
          <w:rFonts w:hint="eastAsia" w:ascii="宋体" w:hAnsi="宋体"/>
        </w:rPr>
        <w:t>1.10.3投标预备会后，招标人将对投标人所提问题的澄清，按本章第2.2款规定的时间和形式通知所有购买招标文件的投标人。该澄清内容为招标文件的组成部分。</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1.11 </w:t>
      </w:r>
      <w:r>
        <w:rPr>
          <w:rFonts w:hint="eastAsia" w:ascii="宋体" w:hAnsi="宋体" w:eastAsia="宋体"/>
          <w:color w:val="000000"/>
          <w:sz w:val="24"/>
          <w:szCs w:val="24"/>
        </w:rPr>
        <w:t>分包</w:t>
      </w:r>
    </w:p>
    <w:p>
      <w:pPr>
        <w:spacing w:line="400" w:lineRule="exact"/>
        <w:ind w:firstLine="480" w:firstLineChars="200"/>
        <w:rPr>
          <w:rFonts w:ascii="宋体" w:hAnsi="宋体"/>
          <w:color w:val="000000"/>
          <w:szCs w:val="20"/>
        </w:rPr>
      </w:pPr>
      <w:r>
        <w:rPr>
          <w:rFonts w:ascii="宋体" w:hAnsi="宋体"/>
          <w:color w:val="000000"/>
        </w:rPr>
        <w:t xml:space="preserve">1.11.1 </w:t>
      </w:r>
      <w:r>
        <w:rPr>
          <w:rFonts w:hint="eastAsia" w:ascii="宋体" w:hAnsi="宋体"/>
          <w:color w:val="000000"/>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spacing w:line="400" w:lineRule="exact"/>
        <w:ind w:firstLine="480" w:firstLineChars="200"/>
        <w:rPr>
          <w:rFonts w:ascii="Times New Roman" w:hAnsi="Times New Roman" w:cs="楷体"/>
          <w:bCs/>
          <w:snapToGrid w:val="0"/>
          <w:color w:val="000000"/>
          <w:kern w:val="0"/>
          <w:szCs w:val="21"/>
        </w:rPr>
      </w:pPr>
      <w:r>
        <w:rPr>
          <w:rFonts w:hint="eastAsia" w:ascii="宋体" w:hAnsi="宋体"/>
          <w:color w:val="000000"/>
        </w:rPr>
        <w:t>1.11.2 中标人不得向他人转让中标项目，接受分包的人不得再次分包。中标人应当就分包项目向招标人负责，接受分包的人就分包项目承担连带责任。</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1.12</w:t>
      </w:r>
      <w:r>
        <w:rPr>
          <w:rFonts w:hint="eastAsia" w:ascii="宋体" w:hAnsi="宋体" w:eastAsia="宋体"/>
          <w:color w:val="000000"/>
          <w:sz w:val="24"/>
          <w:szCs w:val="24"/>
        </w:rPr>
        <w:t xml:space="preserve"> 响应和偏差</w:t>
      </w:r>
    </w:p>
    <w:p>
      <w:pPr>
        <w:spacing w:line="440" w:lineRule="exact"/>
        <w:ind w:firstLine="480" w:firstLineChars="200"/>
        <w:rPr>
          <w:rFonts w:ascii="Times New Roman" w:hAnsi="Times New Roman" w:cs="楷体"/>
          <w:bCs/>
          <w:snapToGrid w:val="0"/>
          <w:color w:val="000000"/>
          <w:kern w:val="0"/>
          <w:szCs w:val="21"/>
        </w:rPr>
      </w:pPr>
      <w:r>
        <w:rPr>
          <w:rFonts w:ascii="Times New Roman" w:hAnsi="Times New Roman" w:cs="楷体"/>
          <w:bCs/>
          <w:snapToGrid w:val="0"/>
          <w:color w:val="000000"/>
          <w:kern w:val="0"/>
          <w:szCs w:val="21"/>
        </w:rPr>
        <w:t>1.12.1</w:t>
      </w:r>
      <w:r>
        <w:rPr>
          <w:rFonts w:hint="eastAsia" w:ascii="Times New Roman" w:hAnsi="Times New Roman" w:cs="楷体"/>
          <w:bCs/>
          <w:snapToGrid w:val="0"/>
          <w:color w:val="000000"/>
          <w:kern w:val="0"/>
          <w:szCs w:val="21"/>
        </w:rPr>
        <w:t xml:space="preserve"> 投标文件偏离招标文件某些要求，视为投标文件存在偏差。偏差包括重大偏差和细微偏差。</w:t>
      </w:r>
    </w:p>
    <w:p>
      <w:pPr>
        <w:spacing w:line="440" w:lineRule="exact"/>
        <w:ind w:firstLine="480" w:firstLineChars="200"/>
        <w:rPr>
          <w:rFonts w:ascii="Times New Roman" w:hAnsi="Times New Roman" w:cs="楷体"/>
          <w:bCs/>
          <w:snapToGrid w:val="0"/>
          <w:color w:val="000000"/>
          <w:kern w:val="0"/>
          <w:szCs w:val="21"/>
        </w:rPr>
      </w:pPr>
      <w:r>
        <w:rPr>
          <w:rFonts w:ascii="Times New Roman" w:hAnsi="Times New Roman" w:cs="楷体"/>
          <w:bCs/>
          <w:snapToGrid w:val="0"/>
          <w:color w:val="000000"/>
          <w:kern w:val="0"/>
          <w:szCs w:val="21"/>
        </w:rPr>
        <w:t>1.12.2</w:t>
      </w:r>
      <w:r>
        <w:rPr>
          <w:rFonts w:hint="eastAsia" w:ascii="Times New Roman" w:hAnsi="Times New Roman" w:cs="楷体"/>
          <w:bCs/>
          <w:snapToGrid w:val="0"/>
          <w:color w:val="000000"/>
          <w:kern w:val="0"/>
          <w:szCs w:val="21"/>
        </w:rPr>
        <w:t xml:space="preserve"> 投标文件应对招标文件的实质性要求和条件作出满足性或更有利于招标人的响应，否则，视为投标文件存在重大偏差，投标人的投标将被否决。</w:t>
      </w:r>
    </w:p>
    <w:p>
      <w:pPr>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投标文件存在第三章“评标办法”中所列任一否决投标情形的，均属于存在重大偏差。</w:t>
      </w:r>
    </w:p>
    <w:p>
      <w:pPr>
        <w:spacing w:line="440" w:lineRule="exact"/>
        <w:ind w:firstLine="480" w:firstLineChars="200"/>
        <w:rPr>
          <w:rFonts w:ascii="Times New Roman" w:hAnsi="Times New Roman" w:cs="楷体"/>
          <w:bCs/>
          <w:snapToGrid w:val="0"/>
          <w:color w:val="000000"/>
          <w:kern w:val="0"/>
          <w:szCs w:val="21"/>
        </w:rPr>
      </w:pPr>
      <w:r>
        <w:rPr>
          <w:rFonts w:ascii="Times New Roman" w:hAnsi="Times New Roman" w:cs="楷体"/>
          <w:bCs/>
          <w:snapToGrid w:val="0"/>
          <w:color w:val="000000"/>
          <w:kern w:val="0"/>
          <w:szCs w:val="21"/>
        </w:rPr>
        <w:t>1.12.3</w:t>
      </w:r>
      <w:r>
        <w:rPr>
          <w:rFonts w:hint="eastAsia" w:ascii="Times New Roman" w:hAnsi="Times New Roman" w:cs="楷体"/>
          <w:bCs/>
          <w:snapToGrid w:val="0"/>
          <w:color w:val="000000"/>
          <w:kern w:val="0"/>
          <w:szCs w:val="21"/>
        </w:rPr>
        <w:t xml:space="preserve"> 投标文件中的下列偏差为细微偏差：</w:t>
      </w:r>
    </w:p>
    <w:p>
      <w:pPr>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pPr>
        <w:tabs>
          <w:tab w:val="left" w:pos="1014"/>
        </w:tabs>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2</w:t>
      </w:r>
      <w:r>
        <w:rPr>
          <w:rFonts w:hint="eastAsia" w:ascii="Times New Roman" w:hAnsi="Times New Roman" w:cs="楷体"/>
          <w:bCs/>
          <w:snapToGrid w:val="0"/>
          <w:color w:val="000000"/>
          <w:kern w:val="0"/>
          <w:szCs w:val="21"/>
        </w:rPr>
        <w:t>）投标文件个别文字有遗漏错误等不影响投标文件实质性内容的偏差。</w:t>
      </w:r>
    </w:p>
    <w:p>
      <w:pPr>
        <w:spacing w:line="440" w:lineRule="exact"/>
        <w:ind w:firstLine="480" w:firstLineChars="200"/>
        <w:rPr>
          <w:rFonts w:ascii="Times New Roman" w:hAnsi="Times New Roman" w:cs="楷体"/>
          <w:bCs/>
          <w:snapToGrid w:val="0"/>
          <w:color w:val="000000"/>
          <w:kern w:val="0"/>
          <w:szCs w:val="21"/>
        </w:rPr>
      </w:pPr>
      <w:r>
        <w:rPr>
          <w:rFonts w:ascii="Times New Roman" w:hAnsi="Times New Roman" w:cs="楷体"/>
          <w:bCs/>
          <w:snapToGrid w:val="0"/>
          <w:color w:val="000000"/>
          <w:kern w:val="0"/>
          <w:szCs w:val="21"/>
        </w:rPr>
        <w:t>1.12.4</w:t>
      </w:r>
      <w:r>
        <w:rPr>
          <w:rFonts w:hint="eastAsia" w:ascii="Times New Roman" w:hAnsi="Times New Roman" w:cs="楷体"/>
          <w:bCs/>
          <w:snapToGrid w:val="0"/>
          <w:color w:val="000000"/>
          <w:kern w:val="0"/>
          <w:szCs w:val="21"/>
        </w:rPr>
        <w:t xml:space="preserve"> 评标委员会对投标文件中的细微偏差按如下规定处理：</w:t>
      </w:r>
    </w:p>
    <w:p>
      <w:pPr>
        <w:spacing w:line="44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（1）对于本章第1.12.3项（1）目所述的细微偏差，按照第三章“评标办法”的规定予以修正并要求投标人进行澄清；</w:t>
      </w:r>
    </w:p>
    <w:p>
      <w:pPr>
        <w:spacing w:line="440" w:lineRule="exact"/>
        <w:ind w:firstLine="480" w:firstLineChars="200"/>
        <w:rPr>
          <w:rFonts w:ascii="楷体" w:hAnsi="楷体" w:eastAsia="楷体"/>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2</w:t>
      </w:r>
      <w:r>
        <w:rPr>
          <w:rFonts w:hint="eastAsia" w:ascii="Times New Roman" w:hAnsi="Times New Roman" w:cs="楷体"/>
          <w:bCs/>
          <w:snapToGrid w:val="0"/>
          <w:color w:val="000000"/>
          <w:kern w:val="0"/>
          <w:szCs w:val="21"/>
        </w:rPr>
        <w:t>）对于本章第1.12.3项（2）目所述的细微偏差，可要求投标人对细微偏差进行澄清。</w:t>
      </w:r>
    </w:p>
    <w:p>
      <w:pPr>
        <w:pStyle w:val="4"/>
        <w:rPr>
          <w:rFonts w:ascii="宋体" w:hAnsi="宋体" w:eastAsia="宋体"/>
          <w:b w:val="0"/>
          <w:color w:val="000000"/>
        </w:rPr>
      </w:pPr>
      <w:bookmarkStart w:id="36" w:name="_Toc72221875"/>
      <w:r>
        <w:rPr>
          <w:rFonts w:ascii="宋体" w:hAnsi="宋体" w:eastAsia="宋体"/>
          <w:b w:val="0"/>
          <w:color w:val="000000"/>
        </w:rPr>
        <w:t xml:space="preserve">2. </w:t>
      </w:r>
      <w:r>
        <w:rPr>
          <w:rFonts w:hint="eastAsia" w:ascii="宋体" w:hAnsi="宋体" w:eastAsia="宋体"/>
          <w:b w:val="0"/>
          <w:color w:val="000000"/>
        </w:rPr>
        <w:t>招标文件</w:t>
      </w:r>
      <w:bookmarkEnd w:id="36"/>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2.1 </w:t>
      </w:r>
      <w:r>
        <w:rPr>
          <w:rFonts w:hint="eastAsia" w:ascii="宋体" w:hAnsi="宋体" w:eastAsia="宋体"/>
          <w:color w:val="000000"/>
          <w:sz w:val="24"/>
          <w:szCs w:val="24"/>
        </w:rPr>
        <w:t>招标文件的组成</w:t>
      </w:r>
    </w:p>
    <w:p>
      <w:pPr>
        <w:spacing w:line="400" w:lineRule="exact"/>
        <w:ind w:firstLine="410" w:firstLineChars="171"/>
        <w:rPr>
          <w:rFonts w:ascii="宋体" w:hAnsi="宋体"/>
          <w:color w:val="000000"/>
        </w:rPr>
      </w:pPr>
      <w:r>
        <w:rPr>
          <w:rFonts w:hint="eastAsia" w:ascii="宋体" w:hAnsi="宋体"/>
          <w:color w:val="000000"/>
        </w:rPr>
        <w:t>本招标文件包括：</w:t>
      </w:r>
    </w:p>
    <w:p>
      <w:pPr>
        <w:spacing w:line="400" w:lineRule="exact"/>
        <w:ind w:firstLine="410" w:firstLineChars="171"/>
        <w:rPr>
          <w:rFonts w:ascii="宋体" w:hAnsi="宋体"/>
          <w:color w:val="000000"/>
        </w:rPr>
      </w:pPr>
      <w:r>
        <w:rPr>
          <w:rFonts w:hint="eastAsia" w:ascii="宋体" w:hAnsi="宋体"/>
          <w:color w:val="000000"/>
        </w:rPr>
        <w:t>（1）招标公告；</w:t>
      </w:r>
    </w:p>
    <w:p>
      <w:pPr>
        <w:spacing w:line="400" w:lineRule="exact"/>
        <w:ind w:firstLine="410" w:firstLineChars="171"/>
        <w:rPr>
          <w:rFonts w:ascii="宋体" w:hAnsi="宋体"/>
          <w:color w:val="000000"/>
        </w:rPr>
      </w:pPr>
      <w:r>
        <w:rPr>
          <w:rFonts w:hint="eastAsia" w:ascii="宋体" w:hAnsi="宋体"/>
          <w:color w:val="000000"/>
        </w:rPr>
        <w:t>（2）投标人须知；</w:t>
      </w:r>
    </w:p>
    <w:p>
      <w:pPr>
        <w:spacing w:line="400" w:lineRule="exact"/>
        <w:ind w:firstLine="410" w:firstLineChars="171"/>
        <w:rPr>
          <w:rFonts w:ascii="宋体" w:hAnsi="宋体"/>
          <w:color w:val="000000"/>
        </w:rPr>
      </w:pPr>
      <w:r>
        <w:rPr>
          <w:rFonts w:hint="eastAsia" w:ascii="宋体" w:hAnsi="宋体"/>
          <w:color w:val="000000"/>
        </w:rPr>
        <w:t>（3）评标办法；</w:t>
      </w:r>
    </w:p>
    <w:p>
      <w:pPr>
        <w:spacing w:line="400" w:lineRule="exact"/>
        <w:ind w:firstLine="410" w:firstLineChars="171"/>
        <w:rPr>
          <w:rFonts w:ascii="宋体" w:hAnsi="宋体"/>
          <w:color w:val="000000"/>
        </w:rPr>
      </w:pPr>
      <w:r>
        <w:rPr>
          <w:rFonts w:hint="eastAsia" w:ascii="宋体" w:hAnsi="宋体"/>
          <w:color w:val="000000"/>
        </w:rPr>
        <w:t>（4）合同条款及格式；</w:t>
      </w:r>
    </w:p>
    <w:p>
      <w:pPr>
        <w:spacing w:line="400" w:lineRule="exact"/>
        <w:ind w:firstLine="410" w:firstLineChars="171"/>
        <w:rPr>
          <w:rFonts w:ascii="宋体" w:hAnsi="宋体"/>
        </w:rPr>
      </w:pPr>
      <w:r>
        <w:rPr>
          <w:rFonts w:hint="eastAsia" w:ascii="宋体" w:hAnsi="宋体"/>
          <w:color w:val="000000"/>
        </w:rPr>
        <w:t>（5）</w:t>
      </w:r>
      <w:r>
        <w:rPr>
          <w:rFonts w:hint="eastAsia" w:ascii="宋体" w:hAnsi="宋体"/>
        </w:rPr>
        <w:t>发包人要求；</w:t>
      </w:r>
    </w:p>
    <w:p>
      <w:pPr>
        <w:spacing w:line="400" w:lineRule="exact"/>
        <w:ind w:firstLine="410" w:firstLineChars="171"/>
        <w:rPr>
          <w:rFonts w:ascii="宋体" w:hAnsi="宋体"/>
        </w:rPr>
      </w:pPr>
      <w:r>
        <w:rPr>
          <w:rFonts w:hint="eastAsia" w:ascii="宋体" w:hAnsi="宋体"/>
        </w:rPr>
        <w:t>（</w:t>
      </w:r>
      <w:r>
        <w:rPr>
          <w:rFonts w:ascii="宋体" w:hAnsi="宋体"/>
        </w:rPr>
        <w:t>6</w:t>
      </w:r>
      <w:r>
        <w:rPr>
          <w:rFonts w:hint="eastAsia" w:ascii="宋体" w:hAnsi="宋体"/>
        </w:rPr>
        <w:t>）投标文件格式；</w:t>
      </w:r>
    </w:p>
    <w:p>
      <w:pPr>
        <w:spacing w:line="400" w:lineRule="exact"/>
        <w:ind w:firstLine="410" w:firstLineChars="171"/>
        <w:rPr>
          <w:rFonts w:ascii="宋体" w:hAnsi="宋体"/>
          <w:color w:val="000000"/>
        </w:rPr>
      </w:pPr>
      <w:r>
        <w:rPr>
          <w:rFonts w:hint="eastAsia" w:ascii="宋体" w:hAnsi="宋体"/>
        </w:rPr>
        <w:t>（</w:t>
      </w:r>
      <w:r>
        <w:rPr>
          <w:rFonts w:ascii="宋体" w:hAnsi="宋体"/>
        </w:rPr>
        <w:t>7</w:t>
      </w:r>
      <w:r>
        <w:rPr>
          <w:rFonts w:hint="eastAsia" w:ascii="宋体" w:hAnsi="宋体"/>
          <w:color w:val="000000"/>
        </w:rPr>
        <w:t>）投标人须知前附表规定的其他资料。</w:t>
      </w:r>
    </w:p>
    <w:p>
      <w:pPr>
        <w:spacing w:line="400" w:lineRule="exact"/>
        <w:ind w:firstLine="480" w:firstLineChars="200"/>
        <w:rPr>
          <w:rFonts w:ascii="宋体" w:hAnsi="宋体"/>
          <w:color w:val="000000"/>
        </w:rPr>
      </w:pPr>
      <w:r>
        <w:rPr>
          <w:rFonts w:hint="eastAsia" w:ascii="宋体" w:hAnsi="宋体"/>
          <w:color w:val="000000"/>
        </w:rPr>
        <w:t>根据本章第1.10款、第2.2款和第2.3款对招标文件所做的澄清、修改，构成招标文件的组成部分。</w:t>
      </w:r>
    </w:p>
    <w:p>
      <w:pPr>
        <w:spacing w:line="400" w:lineRule="exact"/>
        <w:ind w:firstLine="410" w:firstLineChars="171"/>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当招标文件、招标文件的澄清或修改等在同一内容的表述上不一致时，以最后发出的文件为准。</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2.2 </w:t>
      </w:r>
      <w:r>
        <w:rPr>
          <w:rFonts w:hint="eastAsia" w:ascii="宋体" w:hAnsi="宋体" w:eastAsia="宋体"/>
          <w:color w:val="000000"/>
          <w:sz w:val="24"/>
          <w:szCs w:val="24"/>
        </w:rPr>
        <w:t>招标文件的澄清</w:t>
      </w:r>
    </w:p>
    <w:p>
      <w:pPr>
        <w:spacing w:line="400" w:lineRule="exact"/>
        <w:ind w:firstLine="480" w:firstLineChars="200"/>
        <w:rPr>
          <w:rFonts w:ascii="宋体" w:hAnsi="宋体"/>
          <w:color w:val="000000"/>
        </w:rPr>
      </w:pPr>
      <w:r>
        <w:rPr>
          <w:rFonts w:ascii="宋体" w:hAnsi="宋体"/>
          <w:color w:val="000000"/>
        </w:rPr>
        <w:t>2.2.1</w:t>
      </w:r>
      <w:r>
        <w:rPr>
          <w:rFonts w:hint="eastAsia" w:ascii="宋体" w:hAnsi="宋体"/>
          <w:color w:val="000000"/>
        </w:rPr>
        <w:t xml:space="preserve">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80" w:firstLineChars="200"/>
        <w:rPr>
          <w:rFonts w:ascii="宋体" w:hAnsi="宋体"/>
          <w:color w:val="000000"/>
        </w:rPr>
      </w:pPr>
      <w:r>
        <w:rPr>
          <w:rFonts w:ascii="宋体" w:hAnsi="宋体"/>
          <w:color w:val="000000"/>
        </w:rPr>
        <w:t>2.2.2</w:t>
      </w:r>
      <w:r>
        <w:rPr>
          <w:rFonts w:hint="eastAsia" w:ascii="宋体" w:hAnsi="宋体"/>
          <w:color w:val="000000"/>
        </w:rPr>
        <w:t xml:space="preserve"> 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80" w:firstLineChars="200"/>
        <w:rPr>
          <w:rFonts w:ascii="宋体" w:hAnsi="宋体"/>
          <w:color w:val="000000"/>
        </w:rPr>
      </w:pPr>
      <w:r>
        <w:rPr>
          <w:rFonts w:ascii="宋体" w:hAnsi="宋体"/>
          <w:color w:val="000000"/>
        </w:rPr>
        <w:t>2.2.3</w:t>
      </w:r>
      <w:r>
        <w:rPr>
          <w:rFonts w:hint="eastAsia" w:ascii="宋体" w:hAnsi="宋体"/>
          <w:color w:val="000000"/>
        </w:rPr>
        <w:t xml:space="preserve"> 投标人在收到澄清后，应按投标人须知前附表规定的时间和形式通知招标人，确认已收到该澄清。</w:t>
      </w:r>
    </w:p>
    <w:p>
      <w:pPr>
        <w:spacing w:line="400" w:lineRule="exact"/>
        <w:ind w:firstLine="480" w:firstLineChars="200"/>
        <w:rPr>
          <w:rFonts w:ascii="宋体" w:hAnsi="宋体"/>
          <w:color w:val="000000"/>
        </w:rPr>
      </w:pPr>
      <w:r>
        <w:rPr>
          <w:rFonts w:ascii="宋体" w:hAnsi="宋体"/>
          <w:color w:val="000000"/>
        </w:rPr>
        <w:t>2.2.4</w:t>
      </w:r>
      <w:r>
        <w:rPr>
          <w:rFonts w:hint="eastAsia" w:ascii="宋体" w:hAnsi="宋体"/>
          <w:color w:val="000000"/>
        </w:rPr>
        <w:t xml:space="preserve"> 除非招标人认为确有必要答复，否则，招标人有权拒绝回复投标人在本章第2.2.1项规定的时间后提出的任何澄清要求。</w:t>
      </w:r>
    </w:p>
    <w:p>
      <w:pPr>
        <w:pStyle w:val="5"/>
        <w:spacing w:line="240" w:lineRule="auto"/>
        <w:ind w:firstLine="118"/>
        <w:rPr>
          <w:rFonts w:ascii="宋体" w:hAnsi="宋体" w:eastAsia="宋体"/>
          <w:color w:val="000000"/>
          <w:sz w:val="24"/>
          <w:szCs w:val="24"/>
        </w:rPr>
      </w:pPr>
      <w:bookmarkStart w:id="37" w:name="_Toc352691479"/>
      <w:r>
        <w:rPr>
          <w:rFonts w:ascii="宋体" w:hAnsi="宋体" w:eastAsia="宋体"/>
          <w:color w:val="000000"/>
          <w:sz w:val="24"/>
          <w:szCs w:val="24"/>
        </w:rPr>
        <w:t xml:space="preserve">2.3 </w:t>
      </w:r>
      <w:r>
        <w:rPr>
          <w:rFonts w:hint="eastAsia" w:ascii="宋体" w:hAnsi="宋体" w:eastAsia="宋体"/>
          <w:color w:val="000000"/>
          <w:sz w:val="24"/>
          <w:szCs w:val="24"/>
        </w:rPr>
        <w:t>招标文件的修</w:t>
      </w:r>
      <w:bookmarkStart w:id="38" w:name="_Toc16514"/>
      <w:bookmarkStart w:id="39" w:name="_Toc369531521"/>
      <w:r>
        <w:rPr>
          <w:rFonts w:hint="eastAsia" w:ascii="宋体" w:hAnsi="宋体" w:eastAsia="宋体"/>
          <w:color w:val="000000"/>
          <w:sz w:val="24"/>
          <w:szCs w:val="24"/>
        </w:rPr>
        <w:t>改</w:t>
      </w:r>
    </w:p>
    <w:p>
      <w:pPr>
        <w:spacing w:line="400" w:lineRule="exact"/>
        <w:ind w:firstLine="480" w:firstLineChars="200"/>
        <w:rPr>
          <w:rFonts w:ascii="宋体" w:hAnsi="宋体"/>
          <w:color w:val="000000"/>
        </w:rPr>
      </w:pPr>
      <w:r>
        <w:rPr>
          <w:rFonts w:ascii="宋体" w:hAnsi="宋体"/>
          <w:color w:val="000000"/>
        </w:rPr>
        <w:t>2.3.1</w:t>
      </w:r>
      <w:r>
        <w:rPr>
          <w:rFonts w:hint="eastAsia" w:ascii="宋体" w:hAnsi="宋体"/>
          <w:color w:val="000000"/>
        </w:rPr>
        <w:t xml:space="preserve"> 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37"/>
    <w:bookmarkEnd w:id="38"/>
    <w:bookmarkEnd w:id="39"/>
    <w:p>
      <w:pPr>
        <w:spacing w:line="400" w:lineRule="exact"/>
        <w:ind w:firstLine="480" w:firstLineChars="200"/>
        <w:rPr>
          <w:rFonts w:ascii="宋体" w:hAnsi="宋体"/>
          <w:color w:val="000000"/>
        </w:rPr>
      </w:pPr>
      <w:r>
        <w:rPr>
          <w:rFonts w:ascii="宋体" w:hAnsi="宋体"/>
          <w:color w:val="000000"/>
        </w:rPr>
        <w:t>2.3.2</w:t>
      </w:r>
      <w:r>
        <w:rPr>
          <w:rFonts w:hint="eastAsia" w:ascii="宋体" w:hAnsi="宋体"/>
          <w:color w:val="000000"/>
        </w:rPr>
        <w:t xml:space="preserve"> 投标人收到修改内容</w:t>
      </w:r>
      <w:bookmarkStart w:id="40" w:name="_Toc384308218"/>
      <w:bookmarkStart w:id="41" w:name="_Toc247527562"/>
      <w:bookmarkStart w:id="42" w:name="_Toc247513961"/>
      <w:bookmarkStart w:id="43" w:name="_Toc24632"/>
      <w:bookmarkStart w:id="44" w:name="_Toc361508593"/>
      <w:bookmarkStart w:id="45" w:name="_Toc144974506"/>
      <w:bookmarkStart w:id="46" w:name="_Toc152045538"/>
      <w:bookmarkStart w:id="47" w:name="_Toc300834958"/>
      <w:bookmarkStart w:id="48" w:name="_Toc152042314"/>
      <w:bookmarkStart w:id="49" w:name="_Toc369531524"/>
      <w:bookmarkStart w:id="50" w:name="_Toc352691482"/>
      <w:r>
        <w:rPr>
          <w:rFonts w:hint="eastAsia" w:ascii="宋体" w:hAnsi="宋体"/>
          <w:color w:val="000000"/>
        </w:rPr>
        <w:t>后，</w:t>
      </w:r>
      <w:bookmarkEnd w:id="40"/>
      <w:bookmarkEnd w:id="41"/>
      <w:bookmarkEnd w:id="42"/>
      <w:bookmarkEnd w:id="43"/>
      <w:bookmarkEnd w:id="44"/>
      <w:bookmarkEnd w:id="45"/>
      <w:bookmarkEnd w:id="46"/>
      <w:bookmarkEnd w:id="47"/>
      <w:bookmarkEnd w:id="48"/>
      <w:bookmarkEnd w:id="49"/>
      <w:bookmarkEnd w:id="50"/>
      <w:bookmarkStart w:id="51" w:name="_Toc144974508"/>
      <w:bookmarkStart w:id="52" w:name="_Toc384308220"/>
      <w:bookmarkStart w:id="53" w:name="_Toc361508595"/>
      <w:bookmarkStart w:id="54" w:name="_Toc369531526"/>
      <w:bookmarkStart w:id="55" w:name="_Toc16623"/>
      <w:bookmarkStart w:id="56" w:name="_Toc152042316"/>
      <w:bookmarkStart w:id="57" w:name="_Toc247527564"/>
      <w:bookmarkStart w:id="58" w:name="_Toc247513963"/>
      <w:bookmarkStart w:id="59" w:name="_Toc300834960"/>
      <w:bookmarkStart w:id="60" w:name="_Toc152045540"/>
      <w:bookmarkStart w:id="61" w:name="_Toc352691484"/>
      <w:r>
        <w:rPr>
          <w:rFonts w:hint="eastAsia" w:ascii="宋体" w:hAnsi="宋体"/>
          <w:color w:val="000000"/>
        </w:rPr>
        <w:t>应按投标人须知前附表规定的时间和形式通知招标人，确认已收到该修改。</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2.</w:t>
      </w:r>
      <w:bookmarkEnd w:id="51"/>
      <w:bookmarkEnd w:id="52"/>
      <w:bookmarkEnd w:id="53"/>
      <w:bookmarkEnd w:id="54"/>
      <w:bookmarkEnd w:id="55"/>
      <w:bookmarkEnd w:id="56"/>
      <w:bookmarkEnd w:id="57"/>
      <w:bookmarkEnd w:id="58"/>
      <w:bookmarkEnd w:id="59"/>
      <w:bookmarkEnd w:id="60"/>
      <w:bookmarkEnd w:id="61"/>
      <w:r>
        <w:rPr>
          <w:rFonts w:ascii="宋体" w:hAnsi="宋体" w:eastAsia="宋体"/>
          <w:color w:val="000000"/>
          <w:sz w:val="24"/>
          <w:szCs w:val="24"/>
        </w:rPr>
        <w:t xml:space="preserve">4 </w:t>
      </w:r>
      <w:r>
        <w:rPr>
          <w:rFonts w:hint="eastAsia" w:ascii="宋体" w:hAnsi="宋体" w:eastAsia="宋体"/>
          <w:color w:val="000000"/>
          <w:sz w:val="24"/>
          <w:szCs w:val="24"/>
        </w:rPr>
        <w:t>招标文件的异议</w:t>
      </w:r>
    </w:p>
    <w:p>
      <w:pPr>
        <w:spacing w:line="400" w:lineRule="exact"/>
        <w:ind w:firstLine="480" w:firstLineChars="200"/>
        <w:rPr>
          <w:rFonts w:ascii="宋体" w:hAnsi="宋体"/>
          <w:color w:val="000000"/>
        </w:rPr>
      </w:pPr>
      <w:r>
        <w:rPr>
          <w:rFonts w:hint="eastAsia" w:ascii="宋体" w:hAnsi="宋体"/>
          <w:color w:val="000000"/>
        </w:rPr>
        <w:t>投标人或者其他利害关系人对招标文件有异议的，应当在投标截止时间10日前以书面形式提出。招标人将在收到异议之日起3日内作出答复；作出答复前，将暂停招标投标活动。</w:t>
      </w:r>
    </w:p>
    <w:p>
      <w:pPr>
        <w:pStyle w:val="4"/>
        <w:rPr>
          <w:rFonts w:ascii="宋体" w:hAnsi="宋体" w:eastAsia="宋体"/>
          <w:b w:val="0"/>
          <w:color w:val="000000"/>
        </w:rPr>
      </w:pPr>
      <w:bookmarkStart w:id="62" w:name="_Toc72221876"/>
      <w:r>
        <w:rPr>
          <w:rFonts w:ascii="宋体" w:hAnsi="宋体" w:eastAsia="宋体"/>
          <w:b w:val="0"/>
          <w:color w:val="000000"/>
        </w:rPr>
        <w:t xml:space="preserve">3. </w:t>
      </w:r>
      <w:r>
        <w:rPr>
          <w:rFonts w:hint="eastAsia" w:ascii="宋体" w:hAnsi="宋体" w:eastAsia="宋体"/>
          <w:b w:val="0"/>
          <w:color w:val="000000"/>
        </w:rPr>
        <w:t>投标文件</w:t>
      </w:r>
      <w:bookmarkEnd w:id="62"/>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3.1 </w:t>
      </w:r>
      <w:r>
        <w:rPr>
          <w:rFonts w:hint="eastAsia" w:ascii="宋体" w:hAnsi="宋体" w:eastAsia="宋体"/>
          <w:color w:val="000000"/>
          <w:sz w:val="24"/>
          <w:szCs w:val="24"/>
        </w:rPr>
        <w:t>投标文件的组成</w:t>
      </w:r>
    </w:p>
    <w:p>
      <w:pPr>
        <w:spacing w:line="400" w:lineRule="exact"/>
        <w:ind w:firstLine="420"/>
        <w:rPr>
          <w:rFonts w:ascii="宋体" w:hAnsi="宋体"/>
        </w:rPr>
      </w:pPr>
      <w:r>
        <w:rPr>
          <w:rFonts w:ascii="宋体" w:hAnsi="宋体"/>
        </w:rPr>
        <w:t xml:space="preserve">3.1.1 </w:t>
      </w:r>
      <w:r>
        <w:rPr>
          <w:rFonts w:hint="eastAsia" w:ascii="宋体" w:hAnsi="宋体"/>
        </w:rPr>
        <w:t>投标文件应包括下列内容：</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商务及技术文件：</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（1）投标函（不含报价）；</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（2）法定代表人身份证明或授权委托书；</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（3）联合体协议书；</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（4）投标保证金；</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（5）拟委任的主要人员汇总表；</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（6）资格审查资料；</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7</w:t>
      </w:r>
      <w:r>
        <w:rPr>
          <w:rFonts w:hint="eastAsia" w:ascii="Times New Roman" w:hAnsi="Times New Roman" w:cs="楷体"/>
          <w:bCs/>
          <w:snapToGrid w:val="0"/>
          <w:color w:val="000000"/>
          <w:kern w:val="0"/>
          <w:szCs w:val="21"/>
        </w:rPr>
        <w:t>）服务方案；</w:t>
      </w:r>
    </w:p>
    <w:p>
      <w:pPr>
        <w:spacing w:line="400" w:lineRule="exact"/>
        <w:ind w:firstLine="42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8</w:t>
      </w:r>
      <w:r>
        <w:rPr>
          <w:rFonts w:hint="eastAsia" w:ascii="Times New Roman" w:hAnsi="Times New Roman" w:cs="楷体"/>
          <w:bCs/>
          <w:snapToGrid w:val="0"/>
          <w:color w:val="000000"/>
          <w:kern w:val="0"/>
          <w:szCs w:val="21"/>
        </w:rPr>
        <w:t>）其他资料。</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报价文件：</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（1）投标函（含报价）；</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ascii="Times New Roman" w:hAnsi="Times New Roman" w:cs="楷体"/>
          <w:bCs/>
          <w:snapToGrid w:val="0"/>
          <w:color w:val="000000"/>
          <w:kern w:val="0"/>
          <w:szCs w:val="21"/>
        </w:rPr>
        <w:t>2</w:t>
      </w:r>
      <w:r>
        <w:rPr>
          <w:rFonts w:hint="eastAsia" w:ascii="Times New Roman" w:hAnsi="Times New Roman" w:cs="楷体"/>
          <w:bCs/>
          <w:snapToGrid w:val="0"/>
          <w:color w:val="000000"/>
          <w:kern w:val="0"/>
          <w:szCs w:val="21"/>
        </w:rPr>
        <w:t>）费用清单（本项目不采用）；</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（3）其他资料。</w:t>
      </w:r>
    </w:p>
    <w:p>
      <w:pPr>
        <w:spacing w:line="400" w:lineRule="exact"/>
        <w:ind w:firstLine="410" w:firstLineChars="171"/>
        <w:rPr>
          <w:rFonts w:ascii="宋体" w:hAnsi="宋体"/>
        </w:rPr>
      </w:pPr>
      <w:r>
        <w:rPr>
          <w:rFonts w:ascii="宋体" w:hAnsi="宋体"/>
        </w:rPr>
        <w:t>3.1.2</w:t>
      </w:r>
      <w:r>
        <w:rPr>
          <w:rFonts w:hint="eastAsia" w:ascii="宋体" w:hAnsi="宋体"/>
        </w:rPr>
        <w:t xml:space="preserve"> 投标人须知前附表规定不接受联合体投标的，或投标人没有组成联合体的，投标文件不包括本章第3.1.1（3）目所指的联合体协议书。</w:t>
      </w:r>
    </w:p>
    <w:p>
      <w:pPr>
        <w:spacing w:line="400" w:lineRule="exact"/>
        <w:ind w:firstLine="410" w:firstLineChars="171"/>
        <w:rPr>
          <w:rFonts w:ascii="宋体" w:hAnsi="宋体"/>
          <w:color w:val="000000"/>
        </w:rPr>
      </w:pPr>
      <w:r>
        <w:rPr>
          <w:rFonts w:ascii="宋体" w:hAnsi="宋体"/>
        </w:rPr>
        <w:t>3.1.3</w:t>
      </w:r>
      <w:r>
        <w:rPr>
          <w:rFonts w:hint="eastAsia" w:ascii="宋体" w:hAnsi="宋体"/>
        </w:rPr>
        <w:t xml:space="preserve"> 投标人须知前附表未要求提交投标保证金的，投标文件不包括本章第3.1.1（4）目所指的投标保证金。</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3.2 </w:t>
      </w:r>
      <w:r>
        <w:rPr>
          <w:rFonts w:hint="eastAsia" w:ascii="宋体" w:hAnsi="宋体" w:eastAsia="宋体"/>
          <w:color w:val="000000"/>
          <w:sz w:val="24"/>
          <w:szCs w:val="24"/>
        </w:rPr>
        <w:t>投标报价</w:t>
      </w:r>
    </w:p>
    <w:p>
      <w:pPr>
        <w:spacing w:line="400" w:lineRule="exact"/>
        <w:ind w:firstLine="480" w:firstLineChars="200"/>
        <w:rPr>
          <w:rFonts w:ascii="宋体" w:hAnsi="宋体"/>
        </w:rPr>
      </w:pPr>
      <w:r>
        <w:rPr>
          <w:rFonts w:hint="eastAsia" w:ascii="宋体" w:hAnsi="宋体"/>
        </w:rPr>
        <w:t>3.2.1 投标报价应包括国家规定的增值税税金，除投标人须知前附表另有规定外，增值税税金按一般计税方法计算。投标人应按第六章“投标文件格式”的要求在投标函中进行报价。</w:t>
      </w:r>
    </w:p>
    <w:p>
      <w:pPr>
        <w:spacing w:line="400" w:lineRule="exact"/>
        <w:ind w:firstLine="480" w:firstLineChars="200"/>
        <w:rPr>
          <w:rFonts w:ascii="宋体" w:hAnsi="宋体"/>
        </w:rPr>
      </w:pPr>
      <w:r>
        <w:rPr>
          <w:rFonts w:ascii="宋体" w:hAnsi="宋体"/>
        </w:rPr>
        <w:t>3.2.2</w:t>
      </w:r>
      <w:r>
        <w:rPr>
          <w:rFonts w:hint="eastAsia" w:ascii="宋体" w:hAnsi="宋体"/>
        </w:rPr>
        <w:t xml:space="preserve"> 投标人应充分了解该项目的总体情况以及影响投标报价的其他要素。</w:t>
      </w:r>
    </w:p>
    <w:p>
      <w:pPr>
        <w:spacing w:line="400" w:lineRule="exact"/>
        <w:ind w:firstLine="480" w:firstLineChars="200"/>
        <w:rPr>
          <w:rFonts w:ascii="宋体" w:hAnsi="宋体"/>
        </w:rPr>
      </w:pPr>
      <w:r>
        <w:rPr>
          <w:rFonts w:ascii="宋体" w:hAnsi="宋体"/>
        </w:rPr>
        <w:t>3.2.3</w:t>
      </w:r>
      <w:bookmarkStart w:id="63" w:name="_Toc247513967"/>
      <w:bookmarkEnd w:id="63"/>
      <w:bookmarkStart w:id="64" w:name="_Toc247527568"/>
      <w:bookmarkEnd w:id="64"/>
      <w:bookmarkStart w:id="65" w:name="_Toc369531530"/>
      <w:bookmarkEnd w:id="65"/>
      <w:bookmarkStart w:id="66" w:name="_Toc384308224"/>
      <w:bookmarkEnd w:id="66"/>
      <w:bookmarkStart w:id="67" w:name="_Toc300834964"/>
      <w:bookmarkEnd w:id="67"/>
      <w:bookmarkStart w:id="68" w:name="_Toc144974511"/>
      <w:bookmarkEnd w:id="68"/>
      <w:bookmarkStart w:id="69" w:name="_Toc15242"/>
      <w:bookmarkEnd w:id="69"/>
      <w:bookmarkStart w:id="70" w:name="_Toc152042319"/>
      <w:bookmarkEnd w:id="70"/>
      <w:bookmarkStart w:id="71" w:name="_Toc352691487"/>
      <w:bookmarkEnd w:id="71"/>
      <w:bookmarkStart w:id="72" w:name="_Toc152045543"/>
      <w:bookmarkEnd w:id="72"/>
      <w:bookmarkStart w:id="73" w:name="_Toc361508599"/>
      <w:bookmarkEnd w:id="73"/>
      <w:r>
        <w:rPr>
          <w:rFonts w:hint="eastAsia" w:ascii="宋体" w:hAnsi="宋体"/>
        </w:rPr>
        <w:t xml:space="preserve"> 本项目的报价方式见投标人须知前附表。投标人在投标截止时间前修改投标函中的投标报价总额，应同时修改投标文件中的相应报价。此修改须符合本章第4.3款的有关要求。</w:t>
      </w:r>
    </w:p>
    <w:p>
      <w:pPr>
        <w:spacing w:line="400" w:lineRule="exact"/>
        <w:ind w:firstLine="480" w:firstLineChars="200"/>
        <w:rPr>
          <w:rFonts w:ascii="宋体" w:hAnsi="宋体"/>
          <w:color w:val="000000"/>
        </w:rPr>
      </w:pPr>
      <w:r>
        <w:rPr>
          <w:rFonts w:hint="eastAsia" w:ascii="宋体" w:hAnsi="宋体"/>
        </w:rPr>
        <w:t>3.2.4 招标人设有最高投标限价的，投标人的投标报价不得超过最高投标限价，最高投标限价在投标</w:t>
      </w:r>
      <w:bookmarkStart w:id="74" w:name="_Toc247513968"/>
      <w:bookmarkStart w:id="75" w:name="_Toc152042320"/>
      <w:bookmarkStart w:id="76" w:name="_Toc144974512"/>
      <w:bookmarkStart w:id="77" w:name="_Toc10429"/>
      <w:bookmarkStart w:id="78" w:name="_Toc247527569"/>
      <w:bookmarkStart w:id="79" w:name="_Toc369531531"/>
      <w:bookmarkStart w:id="80" w:name="_Toc300834965"/>
      <w:bookmarkStart w:id="81" w:name="_Toc152045544"/>
      <w:bookmarkStart w:id="82" w:name="_Toc384308225"/>
      <w:bookmarkStart w:id="83" w:name="_Toc352691488"/>
      <w:bookmarkStart w:id="84" w:name="_Toc361508600"/>
      <w:r>
        <w:rPr>
          <w:rFonts w:hint="eastAsia" w:ascii="宋体" w:hAnsi="宋体"/>
        </w:rPr>
        <w:t>人须知前附表中载明。</w:t>
      </w:r>
      <w:bookmarkEnd w:id="74"/>
      <w:bookmarkEnd w:id="75"/>
      <w:bookmarkEnd w:id="76"/>
      <w:bookmarkEnd w:id="77"/>
      <w:bookmarkEnd w:id="78"/>
      <w:bookmarkEnd w:id="79"/>
      <w:bookmarkEnd w:id="80"/>
      <w:bookmarkEnd w:id="81"/>
      <w:bookmarkEnd w:id="82"/>
      <w:bookmarkEnd w:id="83"/>
      <w:bookmarkEnd w:id="84"/>
    </w:p>
    <w:p>
      <w:pPr>
        <w:spacing w:line="400" w:lineRule="exact"/>
        <w:ind w:firstLine="480" w:firstLineChars="200"/>
        <w:rPr>
          <w:rFonts w:ascii="宋体" w:hAnsi="宋体"/>
          <w:color w:val="000000"/>
        </w:rPr>
      </w:pPr>
      <w:r>
        <w:rPr>
          <w:rFonts w:ascii="宋体" w:hAnsi="宋体"/>
          <w:color w:val="000000"/>
        </w:rPr>
        <w:t xml:space="preserve">3.2.5 </w:t>
      </w:r>
      <w:r>
        <w:rPr>
          <w:rFonts w:hint="eastAsia" w:ascii="宋体" w:hAnsi="宋体"/>
          <w:color w:val="000000"/>
        </w:rPr>
        <w:t>投标报价的其他要求见投标人须知前附表。</w:t>
      </w:r>
    </w:p>
    <w:p>
      <w:pPr>
        <w:pStyle w:val="5"/>
        <w:spacing w:line="240" w:lineRule="auto"/>
        <w:ind w:firstLine="118"/>
        <w:rPr>
          <w:rFonts w:ascii="宋体" w:hAnsi="宋体" w:eastAsia="宋体"/>
          <w:color w:val="000000"/>
          <w:sz w:val="24"/>
          <w:szCs w:val="24"/>
        </w:rPr>
      </w:pPr>
      <w:r>
        <w:rPr>
          <w:rFonts w:ascii="宋体" w:hAnsi="宋体" w:eastAsia="宋体"/>
          <w:color w:val="000000"/>
          <w:sz w:val="24"/>
          <w:szCs w:val="24"/>
        </w:rPr>
        <w:t xml:space="preserve">3.3 </w:t>
      </w:r>
      <w:r>
        <w:rPr>
          <w:rFonts w:hint="eastAsia" w:ascii="宋体" w:hAnsi="宋体" w:eastAsia="宋体"/>
          <w:color w:val="000000"/>
          <w:sz w:val="24"/>
          <w:szCs w:val="24"/>
        </w:rPr>
        <w:t>投标有效期</w:t>
      </w:r>
    </w:p>
    <w:p>
      <w:pPr>
        <w:spacing w:line="400" w:lineRule="exact"/>
        <w:ind w:firstLine="480" w:firstLineChars="200"/>
        <w:rPr>
          <w:rFonts w:ascii="宋体" w:hAnsi="宋体"/>
          <w:color w:val="000000"/>
        </w:rPr>
      </w:pPr>
      <w:r>
        <w:rPr>
          <w:rFonts w:ascii="宋体" w:hAnsi="宋体"/>
          <w:color w:val="000000"/>
        </w:rPr>
        <w:t>3.3.1</w:t>
      </w:r>
      <w:r>
        <w:rPr>
          <w:rFonts w:hint="eastAsia" w:ascii="宋体" w:hAnsi="宋体"/>
          <w:color w:val="000000"/>
        </w:rPr>
        <w:t xml:space="preserve"> 除</w:t>
      </w:r>
      <w:r>
        <w:rPr>
          <w:rFonts w:hint="eastAsia" w:ascii="宋体" w:hAnsi="宋体"/>
        </w:rPr>
        <w:t>投标人须知前附表另有规定外，投标有效期为</w:t>
      </w:r>
      <w:r>
        <w:rPr>
          <w:rFonts w:hint="eastAsia" w:ascii="宋体" w:hAnsi="宋体" w:eastAsia="宋体"/>
          <w:lang w:val="en-US" w:eastAsia="zh-CN"/>
        </w:rPr>
        <w:t xml:space="preserve">  </w:t>
      </w:r>
      <w:r>
        <w:rPr>
          <w:rFonts w:hint="eastAsia" w:ascii="宋体" w:hAnsi="宋体"/>
        </w:rPr>
        <w:t>日</w:t>
      </w:r>
      <w:r>
        <w:rPr>
          <w:rFonts w:hint="eastAsia" w:ascii="宋体" w:hAnsi="宋体"/>
          <w:color w:val="000000"/>
        </w:rPr>
        <w:t>。</w:t>
      </w:r>
    </w:p>
    <w:p>
      <w:pPr>
        <w:spacing w:line="400" w:lineRule="exact"/>
        <w:ind w:firstLine="480" w:firstLineChars="200"/>
        <w:rPr>
          <w:rFonts w:ascii="宋体" w:hAnsi="宋体"/>
          <w:color w:val="000000"/>
        </w:rPr>
      </w:pPr>
      <w:r>
        <w:rPr>
          <w:rFonts w:ascii="宋体" w:hAnsi="宋体"/>
          <w:color w:val="000000"/>
        </w:rPr>
        <w:t>3.3.2</w:t>
      </w:r>
      <w:r>
        <w:rPr>
          <w:rFonts w:hint="eastAsia" w:ascii="宋体" w:hAnsi="宋体"/>
          <w:color w:val="000000"/>
        </w:rPr>
        <w:t xml:space="preserve"> 在投标有效期内，投标人撤销投标文件的，应承担招标文件和法律规定的责任。</w:t>
      </w:r>
    </w:p>
    <w:p>
      <w:pPr>
        <w:spacing w:line="400" w:lineRule="exact"/>
        <w:ind w:firstLine="480" w:firstLineChars="200"/>
        <w:rPr>
          <w:rFonts w:ascii="宋体" w:hAnsi="宋体"/>
        </w:rPr>
      </w:pPr>
      <w:r>
        <w:rPr>
          <w:rFonts w:ascii="宋体" w:hAnsi="宋体"/>
          <w:color w:val="000000"/>
        </w:rPr>
        <w:t>3.3.3</w:t>
      </w:r>
      <w:r>
        <w:rPr>
          <w:rFonts w:hint="eastAsia" w:ascii="宋体" w:hAnsi="宋体"/>
          <w:color w:val="000000"/>
        </w:rPr>
        <w:t xml:space="preserve">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hint="eastAsia" w:ascii="宋体" w:hAnsi="宋体"/>
        </w:rPr>
        <w:t>人有权收回其投标保证金及以现金或者支票形式递交的投标保证金的银行同期存款利息。</w:t>
      </w:r>
    </w:p>
    <w:p>
      <w:pPr>
        <w:pStyle w:val="5"/>
        <w:spacing w:line="240" w:lineRule="auto"/>
        <w:ind w:firstLine="137"/>
        <w:rPr>
          <w:rFonts w:ascii="宋体" w:hAnsi="宋体" w:eastAsia="宋体"/>
          <w:color w:val="000000"/>
        </w:rPr>
      </w:pPr>
      <w:r>
        <w:rPr>
          <w:rFonts w:ascii="宋体" w:hAnsi="宋体" w:eastAsia="宋体"/>
          <w:color w:val="000000"/>
        </w:rPr>
        <w:t xml:space="preserve">3.4 </w:t>
      </w:r>
      <w:r>
        <w:rPr>
          <w:rFonts w:hint="eastAsia" w:ascii="宋体" w:hAnsi="宋体" w:eastAsia="宋体"/>
          <w:color w:val="000000"/>
        </w:rPr>
        <w:t>投标保证金</w:t>
      </w:r>
    </w:p>
    <w:p>
      <w:pPr>
        <w:spacing w:line="400" w:lineRule="exact"/>
        <w:ind w:firstLine="480" w:firstLineChars="200"/>
        <w:rPr>
          <w:rFonts w:ascii="宋体" w:hAnsi="宋体"/>
        </w:rPr>
      </w:pPr>
      <w:r>
        <w:rPr>
          <w:rFonts w:ascii="宋体" w:hAnsi="宋体"/>
          <w:color w:val="000000"/>
        </w:rPr>
        <w:t>3.4.1</w:t>
      </w:r>
      <w:r>
        <w:rPr>
          <w:rFonts w:hint="eastAsia" w:ascii="宋体" w:hAnsi="宋体"/>
          <w:color w:val="000000"/>
        </w:rPr>
        <w:t xml:space="preserve"> </w:t>
      </w:r>
      <w:r>
        <w:rPr>
          <w:rFonts w:hint="eastAsia" w:ascii="宋体" w:hAnsi="宋体"/>
        </w:rPr>
        <w:t>投标人在递交投标文件的同时，应按投标人须知前附表规定的金额、担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w:t>
      </w:r>
      <w:r>
        <w:rPr>
          <w:rFonts w:hint="eastAsia" w:ascii="Times New Roman" w:hAnsi="Times New Roman" w:cs="楷体"/>
          <w:bCs/>
          <w:snapToGrid w:val="0"/>
          <w:color w:val="000000"/>
          <w:kern w:val="0"/>
          <w:szCs w:val="21"/>
        </w:rPr>
        <w:t>由</w:t>
      </w:r>
      <w:r>
        <w:rPr>
          <w:rFonts w:hint="eastAsia" w:ascii="宋体" w:hAnsi="宋体"/>
        </w:rPr>
        <w:t>牵头人递交，并应符合投标人须知前附表的规定。</w:t>
      </w:r>
    </w:p>
    <w:p>
      <w:pPr>
        <w:spacing w:line="400" w:lineRule="exact"/>
        <w:ind w:firstLine="480" w:firstLineChars="200"/>
        <w:rPr>
          <w:rFonts w:ascii="楷体" w:hAnsi="楷体" w:eastAsia="楷体"/>
          <w:color w:val="000000"/>
        </w:rPr>
      </w:pPr>
      <w:r>
        <w:rPr>
          <w:rFonts w:hint="eastAsia" w:ascii="Times New Roman" w:hAnsi="Times New Roman" w:cs="楷体"/>
          <w:bCs/>
          <w:snapToGrid w:val="0"/>
          <w:color w:val="000000"/>
          <w:kern w:val="0"/>
          <w:szCs w:val="21"/>
        </w:rPr>
        <w:t>无论采取何种形式的投标保证金，投标保证金有效期均应与投标有效期一致。招标人如果按本章第3.3.3项的规定延长了投标有效期，则投标保证金的有效期也相应延长。</w:t>
      </w:r>
    </w:p>
    <w:p>
      <w:pPr>
        <w:spacing w:line="400" w:lineRule="exact"/>
        <w:ind w:firstLine="480" w:firstLineChars="200"/>
        <w:jc w:val="left"/>
        <w:rPr>
          <w:rFonts w:ascii="宋体" w:hAnsi="宋体"/>
          <w:color w:val="000000"/>
        </w:rPr>
      </w:pPr>
      <w:r>
        <w:rPr>
          <w:rFonts w:ascii="宋体" w:hAnsi="宋体"/>
          <w:color w:val="000000"/>
        </w:rPr>
        <w:t>3.4.2</w:t>
      </w:r>
      <w:r>
        <w:rPr>
          <w:rFonts w:hint="eastAsia" w:ascii="宋体" w:hAnsi="宋体"/>
          <w:color w:val="000000"/>
        </w:rPr>
        <w:t xml:space="preserve"> 投标人不按本章第3.4.1项</w:t>
      </w:r>
      <w:bookmarkStart w:id="85" w:name="_Toc352691490"/>
      <w:bookmarkStart w:id="86" w:name="_Toc384308227"/>
      <w:bookmarkStart w:id="87" w:name="_Toc29025"/>
      <w:bookmarkStart w:id="88" w:name="_Toc361508602"/>
      <w:bookmarkStart w:id="89" w:name="_Toc369531533"/>
      <w:r>
        <w:rPr>
          <w:rFonts w:hint="eastAsia" w:ascii="宋体" w:hAnsi="宋体"/>
          <w:color w:val="000000"/>
        </w:rPr>
        <w:t>要求提交投标保证金的，</w:t>
      </w:r>
      <w:bookmarkEnd w:id="85"/>
      <w:bookmarkEnd w:id="86"/>
      <w:bookmarkEnd w:id="87"/>
      <w:bookmarkEnd w:id="88"/>
      <w:bookmarkEnd w:id="89"/>
      <w:r>
        <w:rPr>
          <w:rFonts w:hint="eastAsia" w:ascii="宋体" w:hAnsi="宋体"/>
          <w:color w:val="000000"/>
        </w:rPr>
        <w:t>评标委员会将否决其投标。</w:t>
      </w:r>
    </w:p>
    <w:p>
      <w:pPr>
        <w:spacing w:line="400" w:lineRule="exact"/>
        <w:ind w:firstLine="480" w:firstLineChars="200"/>
        <w:rPr>
          <w:rFonts w:ascii="宋体" w:hAnsi="宋体"/>
          <w:color w:val="000000"/>
        </w:rPr>
      </w:pPr>
      <w:r>
        <w:rPr>
          <w:rFonts w:ascii="宋体" w:hAnsi="宋体"/>
          <w:color w:val="000000"/>
        </w:rPr>
        <w:t>3.4.3</w:t>
      </w:r>
      <w:r>
        <w:rPr>
          <w:rFonts w:hint="eastAsia" w:ascii="宋体" w:hAnsi="宋体"/>
          <w:color w:val="000000"/>
        </w:rPr>
        <w:t xml:space="preserve"> </w:t>
      </w:r>
      <w:r>
        <w:rPr>
          <w:rFonts w:hint="eastAsia" w:ascii="Times New Roman" w:hAnsi="Times New Roman" w:cs="楷体"/>
          <w:bCs/>
          <w:snapToGrid w:val="0"/>
          <w:color w:val="000000"/>
          <w:kern w:val="0"/>
          <w:szCs w:val="21"/>
        </w:rPr>
        <w:t>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spacing w:line="400" w:lineRule="exact"/>
        <w:ind w:firstLine="480" w:firstLineChars="200"/>
        <w:rPr>
          <w:rFonts w:ascii="宋体" w:hAnsi="宋体"/>
          <w:color w:val="000000"/>
        </w:rPr>
      </w:pPr>
      <w:r>
        <w:rPr>
          <w:rFonts w:ascii="宋体" w:hAnsi="宋体"/>
          <w:color w:val="000000"/>
        </w:rPr>
        <w:t>3.4.4</w:t>
      </w:r>
      <w:r>
        <w:rPr>
          <w:rFonts w:hint="eastAsia" w:ascii="宋体" w:hAnsi="宋体"/>
          <w:color w:val="000000"/>
        </w:rPr>
        <w:t xml:space="preserve"> 有下列情形之一的，投标保证金将不予退还：</w:t>
      </w:r>
    </w:p>
    <w:p>
      <w:pPr>
        <w:spacing w:line="400" w:lineRule="exact"/>
        <w:ind w:firstLine="360" w:firstLineChars="150"/>
        <w:rPr>
          <w:rFonts w:ascii="宋体" w:hAnsi="宋体"/>
          <w:color w:val="000000"/>
        </w:rPr>
      </w:pPr>
      <w:r>
        <w:rPr>
          <w:rFonts w:hint="eastAsia" w:ascii="宋体" w:hAnsi="宋体"/>
          <w:color w:val="000000"/>
        </w:rPr>
        <w:t>（1）投标人在投标有效期内撤销投标文件；</w:t>
      </w:r>
    </w:p>
    <w:p>
      <w:pPr>
        <w:spacing w:line="400" w:lineRule="exact"/>
        <w:ind w:firstLine="360" w:firstLineChars="150"/>
        <w:rPr>
          <w:rFonts w:ascii="宋体" w:hAnsi="宋体"/>
          <w:color w:val="000000"/>
        </w:rPr>
      </w:pPr>
      <w:r>
        <w:rPr>
          <w:rFonts w:hint="eastAsia" w:ascii="宋体" w:hAnsi="宋体"/>
          <w:color w:val="000000"/>
        </w:rPr>
        <w:t>（2）中标人在收到中标通知书后，无正当理由不与招标人订立合同，在签订合同时向招标人提出附加条件，或者不按照招标文件要求提交履约保证金；</w:t>
      </w:r>
    </w:p>
    <w:p>
      <w:pPr>
        <w:spacing w:line="400" w:lineRule="exact"/>
        <w:ind w:firstLine="360" w:firstLineChars="150"/>
        <w:rPr>
          <w:rFonts w:ascii="宋体" w:hAnsi="宋体"/>
          <w:color w:val="000000"/>
        </w:rPr>
      </w:pPr>
      <w:r>
        <w:rPr>
          <w:rFonts w:hint="eastAsia" w:ascii="宋体" w:hAnsi="宋体"/>
          <w:color w:val="000000"/>
        </w:rPr>
        <w:t>（3）发生投标人须知前附表</w:t>
      </w:r>
      <w:r>
        <w:rPr>
          <w:rFonts w:hint="eastAsia" w:ascii="宋体" w:hAnsi="宋体"/>
          <w:szCs w:val="21"/>
        </w:rPr>
        <w:t>规定的其他可以不予退还投标保证金的情形。</w:t>
      </w:r>
    </w:p>
    <w:p>
      <w:pPr>
        <w:pStyle w:val="5"/>
        <w:spacing w:line="240" w:lineRule="auto"/>
        <w:ind w:firstLine="137"/>
        <w:rPr>
          <w:rFonts w:ascii="宋体" w:hAnsi="宋体" w:eastAsia="宋体"/>
          <w:color w:val="000000"/>
        </w:rPr>
      </w:pPr>
      <w:r>
        <w:rPr>
          <w:rFonts w:ascii="宋体" w:hAnsi="宋体" w:eastAsia="宋体"/>
          <w:color w:val="000000"/>
        </w:rPr>
        <w:t xml:space="preserve">3.5 </w:t>
      </w:r>
      <w:r>
        <w:rPr>
          <w:rFonts w:hint="eastAsia" w:ascii="宋体" w:hAnsi="宋体" w:eastAsia="宋体"/>
          <w:color w:val="000000"/>
        </w:rPr>
        <w:t>资格审查资料</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3.5.1 投标人应按投标人须知前附表附录要求提供资格审查资料，内容及格式见第六章“投标文件格式”要求。</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3.5.2 投标人须知前附表规定接受联合体投标的，资格审查资料应包括联合体各方相关情况。</w:t>
      </w:r>
    </w:p>
    <w:p>
      <w:pPr>
        <w:spacing w:line="400" w:lineRule="exact"/>
        <w:ind w:firstLine="480" w:firstLineChars="200"/>
        <w:rPr>
          <w:rFonts w:ascii="Times New Roman" w:hAnsi="Times New Roman" w:cs="楷体"/>
          <w:bCs/>
          <w:snapToGrid w:val="0"/>
          <w:color w:val="000000"/>
          <w:kern w:val="0"/>
          <w:szCs w:val="21"/>
        </w:rPr>
      </w:pPr>
      <w:r>
        <w:rPr>
          <w:rFonts w:ascii="Times New Roman" w:hAnsi="Times New Roman" w:cs="楷体"/>
          <w:bCs/>
          <w:snapToGrid w:val="0"/>
          <w:color w:val="000000"/>
          <w:kern w:val="0"/>
          <w:szCs w:val="21"/>
        </w:rPr>
        <w:t>3.5.3</w:t>
      </w:r>
      <w:r>
        <w:rPr>
          <w:rFonts w:hint="eastAsia" w:ascii="Times New Roman" w:hAnsi="Times New Roman" w:cs="楷体"/>
          <w:bCs/>
          <w:snapToGrid w:val="0"/>
          <w:color w:val="000000"/>
          <w:kern w:val="0"/>
          <w:szCs w:val="21"/>
        </w:rPr>
        <w:t xml:space="preserve"> 招标人有权核查投标人在投标文件中提供的资料，若在评标期间发现投标人提供了虚假资料，其投标将被否决；若在签订合同前发现作为中标候选人的投标人提供了虚假资料，招标人有权取消其中标资格。同时招标人将投标人上述弄虚作假行为上报公共资源交易监督管理部门，作为不良记录记入交易主体信用信息。</w:t>
      </w:r>
    </w:p>
    <w:p>
      <w:pPr>
        <w:pStyle w:val="5"/>
        <w:spacing w:line="240" w:lineRule="auto"/>
        <w:ind w:firstLine="137"/>
        <w:rPr>
          <w:rFonts w:ascii="宋体" w:hAnsi="宋体" w:eastAsia="宋体"/>
          <w:color w:val="000000"/>
        </w:rPr>
      </w:pPr>
      <w:r>
        <w:rPr>
          <w:rFonts w:ascii="宋体" w:hAnsi="宋体" w:eastAsia="宋体"/>
          <w:color w:val="000000"/>
        </w:rPr>
        <w:t xml:space="preserve">3.6 </w:t>
      </w:r>
      <w:r>
        <w:rPr>
          <w:rFonts w:hint="eastAsia" w:ascii="宋体" w:hAnsi="宋体" w:eastAsia="宋体"/>
          <w:color w:val="000000"/>
        </w:rPr>
        <w:t>备选投标方案</w:t>
      </w:r>
    </w:p>
    <w:p>
      <w:pPr>
        <w:spacing w:line="400" w:lineRule="exact"/>
        <w:ind w:firstLine="480" w:firstLineChars="200"/>
        <w:rPr>
          <w:rFonts w:ascii="宋体" w:hAnsi="宋体"/>
          <w:color w:val="000000"/>
        </w:rPr>
      </w:pPr>
      <w:r>
        <w:rPr>
          <w:rFonts w:ascii="宋体" w:hAnsi="宋体"/>
          <w:color w:val="000000"/>
        </w:rPr>
        <w:t>3.6.1</w:t>
      </w:r>
      <w:r>
        <w:rPr>
          <w:rFonts w:hint="eastAsia" w:ascii="宋体" w:hAnsi="宋体"/>
          <w:color w:val="000000"/>
        </w:rPr>
        <w:t xml:space="preserve"> 除投标人须知前附表规定允许外，投标人不得递交备选投标方案，否则其投标将被否决。</w:t>
      </w:r>
    </w:p>
    <w:p>
      <w:pPr>
        <w:spacing w:line="400" w:lineRule="exact"/>
        <w:ind w:firstLine="480" w:firstLineChars="200"/>
        <w:rPr>
          <w:rFonts w:ascii="宋体" w:hAnsi="宋体"/>
          <w:color w:val="000000"/>
        </w:rPr>
      </w:pPr>
      <w:r>
        <w:rPr>
          <w:rFonts w:ascii="宋体" w:hAnsi="宋体"/>
          <w:color w:val="000000"/>
        </w:rPr>
        <w:t>3.6.2</w:t>
      </w:r>
      <w:r>
        <w:rPr>
          <w:rFonts w:hint="eastAsia" w:ascii="宋体" w:hAnsi="宋体"/>
          <w:color w:val="000000"/>
        </w:rPr>
        <w:t xml:space="preserve">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80" w:firstLineChars="200"/>
        <w:rPr>
          <w:rFonts w:ascii="宋体" w:hAnsi="宋体"/>
          <w:color w:val="000000"/>
        </w:rPr>
      </w:pPr>
      <w:r>
        <w:rPr>
          <w:rFonts w:ascii="宋体" w:hAnsi="宋体"/>
          <w:color w:val="000000"/>
        </w:rPr>
        <w:t>3.6.3</w:t>
      </w:r>
      <w:r>
        <w:rPr>
          <w:rFonts w:hint="eastAsia" w:ascii="宋体" w:hAnsi="宋体"/>
          <w:color w:val="000000"/>
        </w:rPr>
        <w:t xml:space="preserve"> 投标人提供两个或两个以上投标报价，或者在投标文件中提供一个报价，但同时提供两个或两个以上</w:t>
      </w:r>
      <w:bookmarkStart w:id="90" w:name="_Toc152045550"/>
      <w:bookmarkStart w:id="91" w:name="_Toc369531538"/>
      <w:bookmarkStart w:id="92" w:name="_Toc247527575"/>
      <w:bookmarkStart w:id="93" w:name="_Toc247513974"/>
      <w:bookmarkStart w:id="94" w:name="_Toc152042326"/>
      <w:bookmarkStart w:id="95" w:name="_Toc300834971"/>
      <w:bookmarkStart w:id="96" w:name="_Toc384308232"/>
      <w:bookmarkStart w:id="97" w:name="_Toc144974518"/>
      <w:bookmarkStart w:id="98" w:name="_Toc361508607"/>
      <w:bookmarkStart w:id="99" w:name="_Toc29902"/>
      <w:bookmarkStart w:id="100" w:name="_Toc352691495"/>
      <w:r>
        <w:rPr>
          <w:rFonts w:hint="eastAsia" w:ascii="宋体" w:hAnsi="宋体"/>
          <w:color w:val="000000"/>
        </w:rPr>
        <w:t>检测</w:t>
      </w:r>
      <w:r>
        <w:rPr>
          <w:rFonts w:hint="eastAsia" w:ascii="宋体" w:hAnsi="宋体"/>
        </w:rPr>
        <w:t>方案的</w:t>
      </w:r>
      <w:bookmarkEnd w:id="90"/>
      <w:bookmarkEnd w:id="91"/>
      <w:bookmarkEnd w:id="92"/>
      <w:bookmarkEnd w:id="93"/>
      <w:bookmarkEnd w:id="94"/>
      <w:bookmarkEnd w:id="95"/>
      <w:bookmarkEnd w:id="96"/>
      <w:bookmarkEnd w:id="97"/>
      <w:bookmarkEnd w:id="98"/>
      <w:bookmarkEnd w:id="99"/>
      <w:bookmarkEnd w:id="100"/>
      <w:r>
        <w:rPr>
          <w:rFonts w:hint="eastAsia" w:ascii="宋体" w:hAnsi="宋体"/>
        </w:rPr>
        <w:t>，</w:t>
      </w:r>
      <w:r>
        <w:rPr>
          <w:rFonts w:hint="eastAsia" w:ascii="宋体" w:hAnsi="宋体"/>
          <w:color w:val="000000"/>
        </w:rPr>
        <w:t>视为提供备选方案。</w:t>
      </w:r>
    </w:p>
    <w:p>
      <w:pPr>
        <w:pStyle w:val="5"/>
        <w:spacing w:line="240" w:lineRule="auto"/>
        <w:ind w:firstLine="137"/>
        <w:rPr>
          <w:rFonts w:ascii="宋体" w:hAnsi="宋体" w:eastAsia="宋体"/>
          <w:color w:val="000000"/>
        </w:rPr>
      </w:pPr>
      <w:r>
        <w:rPr>
          <w:rFonts w:ascii="宋体" w:hAnsi="宋体" w:eastAsia="宋体"/>
          <w:color w:val="000000"/>
        </w:rPr>
        <w:t xml:space="preserve">3.7 </w:t>
      </w:r>
      <w:r>
        <w:rPr>
          <w:rFonts w:hint="eastAsia" w:ascii="宋体" w:hAnsi="宋体" w:eastAsia="宋体"/>
          <w:color w:val="000000"/>
        </w:rPr>
        <w:t>投标文件的编制</w:t>
      </w:r>
    </w:p>
    <w:p>
      <w:pPr>
        <w:spacing w:line="400" w:lineRule="exact"/>
        <w:ind w:firstLine="480" w:firstLineChars="200"/>
        <w:rPr>
          <w:rFonts w:ascii="宋体" w:hAnsi="宋体"/>
          <w:color w:val="000000"/>
        </w:rPr>
      </w:pPr>
      <w:r>
        <w:rPr>
          <w:rFonts w:ascii="宋体" w:hAnsi="宋体"/>
          <w:color w:val="000000"/>
        </w:rPr>
        <w:t>3.7.1</w:t>
      </w:r>
      <w:r>
        <w:rPr>
          <w:rFonts w:hint="eastAsia" w:ascii="宋体" w:hAnsi="宋体"/>
          <w:color w:val="000000"/>
        </w:rPr>
        <w:t xml:space="preserve"> 投标文件应按第六章“投标文件格式”进行编写，如有必要，可以增加附页，作为投标文件的组成部分。</w:t>
      </w:r>
      <w:r>
        <w:rPr>
          <w:rFonts w:hint="eastAsia" w:ascii="宋体" w:hAnsi="宋体"/>
        </w:rPr>
        <w:t>其中，投标函附录在满足招标文件实质性要求的基础上，可以提出比招标文件要求更有利于招标人的承诺。</w:t>
      </w:r>
    </w:p>
    <w:p>
      <w:pPr>
        <w:spacing w:line="400" w:lineRule="exact"/>
        <w:ind w:firstLine="480" w:firstLineChars="200"/>
        <w:rPr>
          <w:rFonts w:ascii="宋体" w:hAnsi="宋体"/>
          <w:color w:val="000000"/>
        </w:rPr>
      </w:pPr>
      <w:r>
        <w:rPr>
          <w:rFonts w:ascii="宋体" w:hAnsi="宋体"/>
          <w:color w:val="000000"/>
        </w:rPr>
        <w:t>3.7.2</w:t>
      </w:r>
      <w:r>
        <w:rPr>
          <w:rFonts w:hint="eastAsia" w:ascii="宋体" w:hAnsi="宋体"/>
          <w:color w:val="000000"/>
        </w:rPr>
        <w:t xml:space="preserve"> 投标文件应当对招标文件有关服务期限、投标有效期、发包人要求、招标范围等实质性内容作出响应。</w:t>
      </w:r>
    </w:p>
    <w:p>
      <w:pPr>
        <w:spacing w:line="440" w:lineRule="exact"/>
        <w:ind w:firstLine="500"/>
        <w:rPr>
          <w:rFonts w:ascii="Times New Roman" w:hAnsi="Times New Roman"/>
          <w:snapToGrid w:val="0"/>
          <w:color w:val="000000"/>
          <w:kern w:val="0"/>
          <w:szCs w:val="21"/>
          <w:shd w:val="clear" w:color="auto" w:fill="FFFFFF"/>
        </w:rPr>
      </w:pPr>
      <w:r>
        <w:rPr>
          <w:rFonts w:hint="eastAsia" w:eastAsia="楷体"/>
          <w:snapToGrid w:val="0"/>
          <w:color w:val="000000"/>
          <w:kern w:val="0"/>
          <w:szCs w:val="21"/>
          <w:shd w:val="clear" w:color="auto" w:fill="FFFFFF"/>
        </w:rPr>
        <w:t xml:space="preserve">3.7.3 </w:t>
      </w:r>
      <w:r>
        <w:rPr>
          <w:rFonts w:hint="eastAsia" w:ascii="Times New Roman" w:hAnsi="Times New Roman"/>
          <w:snapToGrid w:val="0"/>
          <w:color w:val="000000"/>
          <w:kern w:val="0"/>
          <w:szCs w:val="21"/>
          <w:shd w:val="clear" w:color="auto" w:fill="FFFFFF"/>
        </w:rPr>
        <w:t>投标文件的制作应满足以下规定：</w:t>
      </w:r>
      <w:r>
        <w:rPr>
          <w:rFonts w:ascii="Times New Roman" w:hAnsi="Times New Roman"/>
          <w:snapToGrid w:val="0"/>
          <w:color w:val="000000"/>
          <w:kern w:val="0"/>
          <w:szCs w:val="21"/>
          <w:shd w:val="clear" w:color="auto" w:fill="FFFFFF"/>
        </w:rPr>
        <w:t xml:space="preserve"> </w:t>
      </w:r>
    </w:p>
    <w:p>
      <w:pPr>
        <w:spacing w:line="440" w:lineRule="exact"/>
        <w:ind w:firstLine="500"/>
        <w:rPr>
          <w:rFonts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（1）</w:t>
      </w:r>
      <w:r>
        <w:rPr>
          <w:rFonts w:ascii="Times New Roman" w:hAnsi="Times New Roman"/>
          <w:snapToGrid w:val="0"/>
          <w:color w:val="000000"/>
          <w:kern w:val="0"/>
          <w:szCs w:val="21"/>
          <w:shd w:val="clear" w:color="auto" w:fill="FFFFFF"/>
        </w:rPr>
        <w:t>投标文件由投标人使用</w:t>
      </w:r>
      <w:r>
        <w:rPr>
          <w:rFonts w:hint="eastAsia" w:ascii="Times New Roman" w:hAnsi="Times New Roman" w:eastAsia="宋体"/>
          <w:snapToGrid w:val="0"/>
          <w:color w:val="000000"/>
          <w:kern w:val="0"/>
          <w:szCs w:val="21"/>
          <w:shd w:val="clear" w:color="auto" w:fill="FFFFFF"/>
          <w:lang w:eastAsia="zh-CN"/>
        </w:rPr>
        <w:t>招标人</w:t>
      </w:r>
      <w:r>
        <w:rPr>
          <w:rFonts w:ascii="Times New Roman" w:hAnsi="Times New Roman"/>
          <w:snapToGrid w:val="0"/>
          <w:color w:val="000000"/>
          <w:kern w:val="0"/>
          <w:szCs w:val="21"/>
          <w:shd w:val="clear" w:color="auto" w:fill="FFFFFF"/>
        </w:rPr>
        <w:t>提供的“投标文件制作工具”制作生成。“投标文件制作工具”可以通过</w:t>
      </w:r>
      <w:r>
        <w:rPr>
          <w:rFonts w:hint="eastAsia" w:ascii="Times New Roman" w:hAnsi="Times New Roman" w:eastAsia="宋体"/>
          <w:snapToGrid w:val="0"/>
          <w:color w:val="000000"/>
          <w:kern w:val="0"/>
          <w:szCs w:val="21"/>
          <w:shd w:val="clear" w:color="auto" w:fill="FFFFFF"/>
          <w:lang w:eastAsia="zh-CN"/>
        </w:rPr>
        <w:t>招标人</w:t>
      </w:r>
      <w:r>
        <w:rPr>
          <w:rFonts w:ascii="Times New Roman" w:hAnsi="Times New Roman"/>
          <w:snapToGrid w:val="0"/>
          <w:color w:val="000000"/>
          <w:kern w:val="0"/>
          <w:szCs w:val="21"/>
          <w:shd w:val="clear" w:color="auto" w:fill="FFFFFF"/>
        </w:rPr>
        <w:t>下载。</w:t>
      </w:r>
    </w:p>
    <w:p>
      <w:pPr>
        <w:spacing w:line="440" w:lineRule="exact"/>
        <w:ind w:firstLine="500"/>
        <w:rPr>
          <w:rFonts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2）在第六章“投标文件格式”中要求盖单位章和（或）签字处，投标人应加盖投标人单位印章和（或）法定代表人的个人印章/签名章。联合体投标的，除联合体协议书外，投标文件由联合体牵头人按上述规定加盖联合体牵头人单位印章和（或）法定代表人的个人印章/签名章。</w:t>
      </w:r>
    </w:p>
    <w:p>
      <w:pPr>
        <w:spacing w:line="440" w:lineRule="exact"/>
        <w:ind w:firstLine="500"/>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（3）投标文件制作完成后，投标人应对投标文件进行文件加密，形成加密的投标文件。</w:t>
      </w:r>
    </w:p>
    <w:p>
      <w:pPr>
        <w:pStyle w:val="2"/>
        <w:rPr>
          <w:rFonts w:hint="eastAsia" w:ascii="Times New Roman" w:hAnsi="Times New Roman" w:eastAsia="Calibri" w:cs="Calibri"/>
          <w:snapToGrid w:val="0"/>
          <w:color w:val="000000"/>
          <w:kern w:val="0"/>
          <w:sz w:val="24"/>
          <w:szCs w:val="21"/>
          <w:shd w:val="clear" w:color="auto" w:fill="FFFFFF"/>
          <w:lang w:val="en-US" w:eastAsia="zh-CN" w:bidi="ar-SA"/>
        </w:rPr>
      </w:pPr>
      <w:r>
        <w:rPr>
          <w:rFonts w:hint="eastAsia" w:ascii="Times New Roman" w:hAnsi="Times New Roman" w:eastAsia="Calibri" w:cs="Calibri"/>
          <w:snapToGrid w:val="0"/>
          <w:color w:val="000000"/>
          <w:kern w:val="0"/>
          <w:sz w:val="24"/>
          <w:szCs w:val="21"/>
          <w:shd w:val="clear" w:color="auto" w:fill="FFFFFF"/>
          <w:lang w:val="en-US" w:eastAsia="zh-CN" w:bidi="ar-SA"/>
        </w:rPr>
        <w:t>（4）投标文件纸质档盖章后密封报送。</w:t>
      </w:r>
    </w:p>
    <w:p>
      <w:pPr>
        <w:pStyle w:val="2"/>
        <w:rPr>
          <w:rFonts w:hint="default" w:ascii="Times New Roman" w:hAnsi="Times New Roman" w:eastAsia="Calibri" w:cs="Calibri"/>
          <w:snapToGrid w:val="0"/>
          <w:color w:val="000000"/>
          <w:kern w:val="0"/>
          <w:sz w:val="24"/>
          <w:szCs w:val="21"/>
          <w:shd w:val="clear" w:color="auto" w:fill="FFFFFF"/>
          <w:lang w:val="en-US" w:eastAsia="zh-CN" w:bidi="ar-SA"/>
        </w:rPr>
      </w:pPr>
      <w:r>
        <w:rPr>
          <w:rFonts w:hint="eastAsia" w:ascii="Times New Roman" w:hAnsi="Times New Roman" w:eastAsia="Calibri" w:cs="Calibri"/>
          <w:snapToGrid w:val="0"/>
          <w:color w:val="000000"/>
          <w:kern w:val="0"/>
          <w:sz w:val="24"/>
          <w:szCs w:val="21"/>
          <w:shd w:val="clear" w:color="auto" w:fill="FFFFFF"/>
          <w:lang w:val="en-US" w:eastAsia="zh-CN" w:bidi="ar-SA"/>
        </w:rPr>
        <w:t>（5）投标文件制作的具体方法详见“投标文件制作工具”中的帮助文档。(不适用)</w:t>
      </w:r>
    </w:p>
    <w:p>
      <w:pPr>
        <w:spacing w:line="400" w:lineRule="exact"/>
        <w:ind w:firstLine="480" w:firstLineChars="200"/>
        <w:rPr>
          <w:rFonts w:hint="eastAsia" w:ascii="Times New Roman" w:hAnsi="Times New Roman"/>
          <w:snapToGrid w:val="0"/>
          <w:color w:val="000000"/>
          <w:kern w:val="0"/>
          <w:szCs w:val="21"/>
          <w:shd w:val="clear" w:color="auto" w:fill="FFFFFF"/>
        </w:rPr>
      </w:pPr>
    </w:p>
    <w:p>
      <w:pPr>
        <w:spacing w:line="400" w:lineRule="exact"/>
        <w:ind w:firstLine="480" w:firstLineChars="200"/>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3.7.5</w:t>
      </w:r>
      <w:bookmarkStart w:id="101" w:name="_Hlk26632786"/>
      <w:r>
        <w:rPr>
          <w:rFonts w:hint="eastAsia" w:ascii="Times New Roman" w:hAnsi="Times New Roman"/>
          <w:snapToGrid w:val="0"/>
          <w:color w:val="000000"/>
          <w:kern w:val="0"/>
          <w:szCs w:val="21"/>
          <w:shd w:val="clear" w:color="auto" w:fill="FFFFFF"/>
        </w:rPr>
        <w:t xml:space="preserve"> 因投标人自身原因而导致投标文件</w:t>
      </w:r>
      <w:r>
        <w:rPr>
          <w:rFonts w:hint="eastAsia" w:ascii="Times New Roman" w:hAnsi="Times New Roman" w:eastAsia="宋体"/>
          <w:snapToGrid w:val="0"/>
          <w:color w:val="000000"/>
          <w:kern w:val="0"/>
          <w:szCs w:val="21"/>
          <w:shd w:val="clear" w:color="auto" w:fill="FFFFFF"/>
          <w:lang w:eastAsia="zh-CN"/>
        </w:rPr>
        <w:t>在截止日期前没有递交长丰供水集团项目联系人的</w:t>
      </w:r>
      <w:r>
        <w:rPr>
          <w:rFonts w:hint="eastAsia" w:ascii="Times New Roman" w:hAnsi="Times New Roman"/>
          <w:snapToGrid w:val="0"/>
          <w:color w:val="000000"/>
          <w:kern w:val="0"/>
          <w:szCs w:val="21"/>
          <w:shd w:val="clear" w:color="auto" w:fill="FFFFFF"/>
        </w:rPr>
        <w:t>，该投标视为无效投标，投标人自行承担由此导致的全部责任。</w:t>
      </w:r>
      <w:bookmarkEnd w:id="101"/>
    </w:p>
    <w:p>
      <w:pPr>
        <w:pStyle w:val="4"/>
        <w:rPr>
          <w:rFonts w:hint="eastAsia" w:ascii="宋体" w:hAnsi="宋体" w:eastAsia="宋体"/>
          <w:color w:val="000000"/>
          <w:lang w:eastAsia="zh-CN"/>
        </w:rPr>
      </w:pPr>
      <w:bookmarkStart w:id="102" w:name="_Toc72221877"/>
      <w:r>
        <w:rPr>
          <w:rFonts w:ascii="宋体" w:hAnsi="宋体" w:eastAsia="宋体"/>
          <w:color w:val="000000"/>
        </w:rPr>
        <w:t xml:space="preserve">4. </w:t>
      </w:r>
      <w:r>
        <w:rPr>
          <w:rFonts w:hint="eastAsia" w:ascii="宋体" w:hAnsi="宋体" w:eastAsia="宋体"/>
          <w:color w:val="000000"/>
        </w:rPr>
        <w:t>投标</w:t>
      </w:r>
      <w:bookmarkEnd w:id="102"/>
      <w:r>
        <w:rPr>
          <w:rFonts w:hint="eastAsia" w:ascii="宋体" w:hAnsi="宋体" w:eastAsia="宋体"/>
          <w:color w:val="000000"/>
          <w:lang w:eastAsia="zh-CN"/>
        </w:rPr>
        <w:t>（提供纸质版投标文件）</w:t>
      </w:r>
    </w:p>
    <w:p>
      <w:pPr>
        <w:pStyle w:val="5"/>
        <w:spacing w:line="240" w:lineRule="auto"/>
        <w:ind w:firstLine="137"/>
        <w:rPr>
          <w:rFonts w:hint="eastAsia" w:ascii="宋体" w:hAnsi="宋体" w:eastAsia="宋体"/>
          <w:color w:val="000000"/>
        </w:rPr>
      </w:pPr>
      <w:bookmarkStart w:id="103" w:name="_Toc179632574"/>
      <w:r>
        <w:rPr>
          <w:rFonts w:hint="eastAsia" w:ascii="宋体" w:hAnsi="宋体" w:eastAsia="宋体"/>
          <w:color w:val="000000"/>
        </w:rPr>
        <w:t>4.1 投标文件的加密（密封）和标记</w:t>
      </w:r>
      <w:bookmarkEnd w:id="103"/>
    </w:p>
    <w:p>
      <w:pPr>
        <w:spacing w:line="400" w:lineRule="exact"/>
        <w:ind w:firstLine="480" w:firstLineChars="200"/>
        <w:rPr>
          <w:rFonts w:hint="eastAsia"/>
        </w:rPr>
      </w:pPr>
      <w:r>
        <w:rPr>
          <w:rFonts w:hint="eastAsia"/>
        </w:rPr>
        <w:t>4.1.1 投标文件应按照本章第 3.7.3 项要求制作并加密，未按要求加密的投标文件将被拒绝接收。</w:t>
      </w:r>
    </w:p>
    <w:p>
      <w:pPr>
        <w:spacing w:line="400" w:lineRule="exact"/>
        <w:ind w:firstLine="480" w:firstLineChars="200"/>
        <w:rPr>
          <w:rFonts w:hint="eastAsia"/>
        </w:rPr>
      </w:pPr>
      <w:r>
        <w:rPr>
          <w:rFonts w:hint="eastAsia"/>
        </w:rPr>
        <w:t>4.1.2 如投标人须知前附表规定接受投标人提供非加密投标文件（与加密的投标文件为同时生成的版本），则非加密投标文件应当单独密封包装在一个封套中。封套的封口处加盖投标人单位章或由投标人的法定代人或其授权的代理人签字。</w:t>
      </w:r>
    </w:p>
    <w:p>
      <w:pPr>
        <w:spacing w:line="400" w:lineRule="exact"/>
        <w:ind w:firstLine="480" w:firstLineChars="200"/>
        <w:rPr>
          <w:rFonts w:hint="eastAsia"/>
        </w:rPr>
      </w:pPr>
      <w:r>
        <w:rPr>
          <w:rFonts w:hint="eastAsia"/>
        </w:rPr>
        <w:t>采用银行保函形式提交投标保证金的，银行保函原件应密封在单独的封套中。(本项目不采用)</w:t>
      </w:r>
    </w:p>
    <w:p>
      <w:pPr>
        <w:spacing w:line="400" w:lineRule="exact"/>
        <w:ind w:firstLine="480" w:firstLineChars="200"/>
        <w:rPr>
          <w:rFonts w:hint="eastAsia"/>
        </w:rPr>
      </w:pPr>
      <w:r>
        <w:rPr>
          <w:rFonts w:hint="eastAsia"/>
        </w:rPr>
        <w:t>非加密投标文件及银行保函封套上应写明的内容要求见投标人须知前附表。</w:t>
      </w:r>
    </w:p>
    <w:p>
      <w:pPr>
        <w:pStyle w:val="5"/>
        <w:spacing w:line="240" w:lineRule="auto"/>
        <w:ind w:firstLine="103"/>
        <w:rPr>
          <w:rFonts w:ascii="Calibri" w:eastAsia="宋体"/>
          <w:sz w:val="21"/>
          <w:szCs w:val="22"/>
        </w:rPr>
      </w:pPr>
      <w:r>
        <w:rPr>
          <w:rFonts w:hint="eastAsia" w:ascii="Calibri" w:eastAsia="宋体"/>
          <w:sz w:val="21"/>
          <w:szCs w:val="22"/>
        </w:rPr>
        <w:t>非加密投标文件及银行保函未按规定封装或加写标记，招标人将不承担投标文件未被开启或提前开启的责任。</w:t>
      </w:r>
    </w:p>
    <w:p>
      <w:pPr>
        <w:pStyle w:val="5"/>
        <w:spacing w:line="240" w:lineRule="auto"/>
        <w:ind w:firstLine="137"/>
        <w:rPr>
          <w:rFonts w:ascii="宋体" w:hAnsi="宋体" w:eastAsia="宋体"/>
          <w:color w:val="000000"/>
        </w:rPr>
      </w:pPr>
      <w:r>
        <w:rPr>
          <w:rFonts w:ascii="宋体" w:hAnsi="宋体" w:eastAsia="宋体"/>
          <w:color w:val="000000"/>
        </w:rPr>
        <w:t xml:space="preserve">4.2 </w:t>
      </w:r>
      <w:r>
        <w:rPr>
          <w:rFonts w:hint="eastAsia" w:ascii="宋体" w:hAnsi="宋体" w:eastAsia="宋体"/>
          <w:color w:val="000000"/>
        </w:rPr>
        <w:t>投标文件的递交</w:t>
      </w:r>
    </w:p>
    <w:p>
      <w:pPr>
        <w:spacing w:line="400" w:lineRule="exact"/>
        <w:ind w:firstLine="480" w:firstLineChars="200"/>
        <w:rPr>
          <w:rFonts w:hint="eastAsia" w:ascii="Times New Roman" w:hAnsi="Times New Roman"/>
          <w:snapToGrid w:val="0"/>
          <w:color w:val="000000"/>
          <w:kern w:val="0"/>
          <w:szCs w:val="21"/>
        </w:rPr>
      </w:pPr>
      <w:r>
        <w:rPr>
          <w:rFonts w:hint="eastAsia"/>
        </w:rPr>
        <w:t>4.2.1</w:t>
      </w:r>
      <w:r>
        <w:rPr>
          <w:rFonts w:ascii="Times New Roman" w:hAnsi="Times New Roman"/>
          <w:snapToGrid w:val="0"/>
          <w:color w:val="000000"/>
          <w:kern w:val="0"/>
          <w:szCs w:val="21"/>
          <w:shd w:val="clear" w:color="auto" w:fill="FFFFFF"/>
        </w:rPr>
        <w:t>投标人应当在第一章“招标公告”规定的投标截止时间前，将加密投标文件在</w:t>
      </w:r>
      <w:r>
        <w:rPr>
          <w:rFonts w:hint="eastAsia" w:ascii="Times New Roman" w:hAnsi="Times New Roman" w:eastAsia="宋体"/>
          <w:snapToGrid w:val="0"/>
          <w:color w:val="000000"/>
          <w:kern w:val="0"/>
          <w:szCs w:val="21"/>
          <w:shd w:val="clear" w:color="auto" w:fill="FFFFFF"/>
          <w:lang w:eastAsia="zh-CN"/>
        </w:rPr>
        <w:t>招标人提供</w:t>
      </w:r>
      <w:r>
        <w:rPr>
          <w:rFonts w:ascii="Times New Roman" w:hAnsi="Times New Roman"/>
          <w:snapToGrid w:val="0"/>
          <w:color w:val="000000"/>
          <w:kern w:val="0"/>
          <w:szCs w:val="21"/>
          <w:shd w:val="clear" w:color="auto" w:fill="FFFFFF"/>
        </w:rPr>
        <w:t>。</w:t>
      </w:r>
    </w:p>
    <w:p>
      <w:pPr>
        <w:spacing w:line="400" w:lineRule="exact"/>
        <w:ind w:firstLine="480" w:firstLineChars="200"/>
        <w:rPr>
          <w:rFonts w:hint="eastAsia"/>
        </w:rPr>
      </w:pPr>
      <w:r>
        <w:rPr>
          <w:rFonts w:hint="eastAsia"/>
        </w:rPr>
        <w:t>4.2.2 投标人递交非加密投标文件的地点：见投标人须知前附表。招标人收到非加密投标文件后由投标人代表登记或向投标人出具签收凭证。</w:t>
      </w:r>
    </w:p>
    <w:p>
      <w:pPr>
        <w:spacing w:line="400" w:lineRule="exact"/>
        <w:ind w:firstLine="480" w:firstLineChars="200"/>
        <w:rPr>
          <w:rFonts w:hint="eastAsia"/>
        </w:rPr>
      </w:pPr>
      <w:r>
        <w:rPr>
          <w:rFonts w:hint="eastAsia"/>
        </w:rPr>
        <w:t>4.2.3 除投标人须知前附表另有规定外，投标人所递交的投标文件不予退还。</w:t>
      </w:r>
    </w:p>
    <w:p>
      <w:pPr>
        <w:spacing w:line="400" w:lineRule="exact"/>
        <w:ind w:firstLine="480" w:firstLineChars="200"/>
        <w:rPr>
          <w:rFonts w:ascii="Times New Roman" w:hAnsi="Times New Roman"/>
          <w:snapToGrid w:val="0"/>
          <w:color w:val="000000"/>
          <w:kern w:val="0"/>
          <w:szCs w:val="21"/>
          <w:shd w:val="clear" w:color="auto" w:fill="FFFFFF"/>
        </w:rPr>
      </w:pPr>
      <w:r>
        <w:rPr>
          <w:rFonts w:hint="eastAsia"/>
        </w:rPr>
        <w:t xml:space="preserve">4.2.4 </w:t>
      </w:r>
      <w:r>
        <w:rPr>
          <w:rFonts w:hint="eastAsia" w:ascii="Times New Roman" w:hAnsi="Times New Roman"/>
          <w:snapToGrid w:val="0"/>
          <w:color w:val="000000"/>
          <w:kern w:val="0"/>
          <w:szCs w:val="21"/>
          <w:shd w:val="clear" w:color="auto" w:fill="FFFFFF"/>
        </w:rPr>
        <w:t>投标人应当在投标截止时间前完成投标文件的传输递交（以接收到签收凭证为准），并可以补充、修改或者撤回投标文件。投标截止时间前未完成投标文件传输的，视为撤回投标文件。未按规定加密或投标截止时间后送达的投标文件，</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应当拒收。</w:t>
      </w:r>
    </w:p>
    <w:p>
      <w:pPr>
        <w:spacing w:line="400" w:lineRule="exact"/>
        <w:ind w:firstLine="480" w:firstLineChars="200"/>
        <w:rPr>
          <w:rFonts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4.2.5 如投标人须知前附表允许递交非加密投标文件，投标人逾期送达的或者未送达指定地点的非加密投标文件，招标人不予接收，但不影响其已按招标文件要求从</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递交的加密投标文件的有效性。未从</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递交加密投标文件的，投标人递交的非加密投标文件将被视为无效。</w:t>
      </w:r>
    </w:p>
    <w:p>
      <w:pPr>
        <w:spacing w:line="400" w:lineRule="exact"/>
        <w:ind w:firstLine="480" w:firstLineChars="200"/>
        <w:rPr>
          <w:rFonts w:hint="eastAsia" w:ascii="Times New Roman" w:hAnsi="Times New Roman"/>
          <w:snapToGrid w:val="0"/>
          <w:color w:val="000000"/>
          <w:kern w:val="0"/>
          <w:szCs w:val="21"/>
          <w:shd w:val="clear" w:color="auto" w:fill="FFFFFF"/>
        </w:rPr>
      </w:pPr>
      <w:r>
        <w:rPr>
          <w:rFonts w:hint="eastAsia" w:ascii="Times New Roman" w:hAnsi="Times New Roman"/>
          <w:snapToGrid w:val="0"/>
          <w:color w:val="000000"/>
          <w:kern w:val="0"/>
          <w:szCs w:val="21"/>
          <w:shd w:val="clear" w:color="auto" w:fill="FFFFFF"/>
        </w:rPr>
        <w:t>4.2.6</w:t>
      </w:r>
      <w:bookmarkStart w:id="104" w:name="_Hlk26635176"/>
      <w:r>
        <w:rPr>
          <w:rFonts w:hint="eastAsia" w:ascii="Times New Roman" w:hAnsi="Times New Roman"/>
          <w:snapToGrid w:val="0"/>
          <w:color w:val="000000"/>
          <w:kern w:val="0"/>
          <w:szCs w:val="21"/>
          <w:shd w:val="clear" w:color="auto" w:fill="FFFFFF"/>
        </w:rPr>
        <w:t xml:space="preserve"> 投标人在本章第5.2款规定的解密开始规定时间（以</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识别出非加密投标文件和加密投标文件识别码不一致，</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将拒绝导入。</w:t>
      </w:r>
      <w:bookmarkEnd w:id="104"/>
    </w:p>
    <w:p>
      <w:pPr>
        <w:pStyle w:val="5"/>
        <w:spacing w:line="240" w:lineRule="auto"/>
        <w:ind w:firstLine="137"/>
        <w:rPr>
          <w:rFonts w:ascii="宋体" w:hAnsi="宋体" w:eastAsia="宋体"/>
          <w:color w:val="000000"/>
        </w:rPr>
      </w:pPr>
      <w:r>
        <w:rPr>
          <w:rFonts w:ascii="宋体" w:hAnsi="宋体" w:eastAsia="宋体"/>
          <w:color w:val="000000"/>
        </w:rPr>
        <w:t xml:space="preserve">4.3 </w:t>
      </w:r>
      <w:r>
        <w:rPr>
          <w:rFonts w:hint="eastAsia" w:ascii="宋体" w:hAnsi="宋体" w:eastAsia="宋体"/>
          <w:color w:val="000000"/>
        </w:rPr>
        <w:t>投标文件的修改与撤回</w:t>
      </w:r>
    </w:p>
    <w:p>
      <w:pPr>
        <w:spacing w:line="400" w:lineRule="exact"/>
        <w:ind w:firstLine="480" w:firstLineChars="200"/>
        <w:rPr>
          <w:rFonts w:hint="eastAsia"/>
        </w:rPr>
      </w:pPr>
      <w:r>
        <w:rPr>
          <w:rFonts w:hint="eastAsia"/>
        </w:rPr>
        <w:t xml:space="preserve">4.3.1 </w:t>
      </w:r>
      <w:r>
        <w:rPr>
          <w:rFonts w:hint="eastAsia" w:ascii="Times New Roman" w:hAnsi="Times New Roman"/>
          <w:snapToGrid w:val="0"/>
          <w:color w:val="000000"/>
          <w:kern w:val="0"/>
          <w:szCs w:val="21"/>
          <w:shd w:val="clear" w:color="auto" w:fill="FFFFFF"/>
        </w:rPr>
        <w:t>在本章第4.2.1项规定的投标截止时间前，投标人可以修改或撤回已递交的投标文件。投标人对加密投标文件进行撤回的，应在</w:t>
      </w:r>
      <w:r>
        <w:rPr>
          <w:rFonts w:hint="eastAsia" w:ascii="Times New Roman" w:hAnsi="Times New Roman" w:eastAsia="宋体"/>
          <w:snapToGrid w:val="0"/>
          <w:color w:val="000000"/>
          <w:kern w:val="0"/>
          <w:szCs w:val="21"/>
          <w:shd w:val="clear" w:color="auto" w:fill="FFFFFF"/>
          <w:lang w:eastAsia="zh-CN"/>
        </w:rPr>
        <w:t>招标人</w:t>
      </w:r>
      <w:r>
        <w:rPr>
          <w:rFonts w:hint="eastAsia" w:ascii="Times New Roman" w:hAnsi="Times New Roman"/>
          <w:snapToGrid w:val="0"/>
          <w:color w:val="000000"/>
          <w:kern w:val="0"/>
          <w:szCs w:val="21"/>
          <w:shd w:val="clear" w:color="auto" w:fill="FFFFFF"/>
        </w:rPr>
        <w:t>直接进行撤回操作；投标人对加密投标文件进行修改的，应在投标截止时间前完成</w:t>
      </w:r>
      <w:r>
        <w:rPr>
          <w:rFonts w:hint="eastAsia" w:ascii="Times New Roman" w:hAnsi="Times New Roman" w:eastAsia="宋体"/>
          <w:snapToGrid w:val="0"/>
          <w:color w:val="000000"/>
          <w:kern w:val="0"/>
          <w:szCs w:val="21"/>
          <w:shd w:val="clear" w:color="auto" w:fill="FFFFFF"/>
          <w:lang w:eastAsia="zh-CN"/>
        </w:rPr>
        <w:t>提供</w:t>
      </w:r>
      <w:r>
        <w:rPr>
          <w:rFonts w:hint="eastAsia" w:ascii="Times New Roman" w:hAnsi="Times New Roman"/>
          <w:snapToGrid w:val="0"/>
          <w:color w:val="000000"/>
          <w:kern w:val="0"/>
          <w:szCs w:val="21"/>
          <w:shd w:val="clear" w:color="auto" w:fill="FFFFFF"/>
        </w:rPr>
        <w:t>。投标人修改投标文件的，应使用“投标文件制作工具”制作成完整的投标文件，并按照本章第 3 条、第 4 条规定进行编制、加密和递交。</w:t>
      </w:r>
    </w:p>
    <w:p>
      <w:pPr>
        <w:spacing w:line="400" w:lineRule="exact"/>
        <w:ind w:firstLine="480" w:firstLineChars="200"/>
        <w:rPr>
          <w:rFonts w:ascii="宋体" w:hAnsi="宋体"/>
          <w:color w:val="000000"/>
        </w:rPr>
      </w:pPr>
      <w:r>
        <w:rPr>
          <w:rFonts w:hint="eastAsia"/>
        </w:rPr>
        <w:t>4.3.2 投标人修改或撤回已递交的</w:t>
      </w:r>
      <w:r>
        <w:rPr>
          <w:rFonts w:hint="eastAsia" w:ascii="Times New Roman" w:hAnsi="Times New Roman" w:cs="楷体"/>
          <w:bCs/>
          <w:snapToGrid w:val="0"/>
          <w:color w:val="000000"/>
          <w:kern w:val="0"/>
          <w:szCs w:val="21"/>
        </w:rPr>
        <w:t>非加密</w:t>
      </w:r>
      <w:r>
        <w:rPr>
          <w:rFonts w:hint="eastAsia"/>
        </w:rPr>
        <w:t>投标文件的，应当以书面形式通知招标人。书面通知应按照本章第3.7.3项的要求签字或盖章。招标人收到书面通知后，向投标人出具签收凭证。</w:t>
      </w:r>
    </w:p>
    <w:p>
      <w:pPr>
        <w:pStyle w:val="4"/>
        <w:rPr>
          <w:rFonts w:ascii="宋体" w:hAnsi="宋体" w:eastAsia="宋体"/>
          <w:color w:val="000000"/>
        </w:rPr>
      </w:pPr>
      <w:bookmarkStart w:id="105" w:name="_Toc72221878"/>
      <w:r>
        <w:rPr>
          <w:rFonts w:ascii="宋体" w:hAnsi="宋体" w:eastAsia="宋体"/>
          <w:color w:val="000000"/>
        </w:rPr>
        <w:t xml:space="preserve">5. </w:t>
      </w:r>
      <w:r>
        <w:rPr>
          <w:rFonts w:hint="eastAsia" w:ascii="宋体" w:hAnsi="宋体" w:eastAsia="宋体"/>
          <w:color w:val="000000"/>
        </w:rPr>
        <w:t>开标</w:t>
      </w:r>
      <w:bookmarkEnd w:id="105"/>
    </w:p>
    <w:p>
      <w:pPr>
        <w:pStyle w:val="5"/>
        <w:spacing w:line="240" w:lineRule="auto"/>
        <w:ind w:firstLine="137"/>
        <w:rPr>
          <w:rFonts w:ascii="宋体" w:hAnsi="宋体" w:eastAsia="宋体"/>
          <w:color w:val="000000"/>
        </w:rPr>
      </w:pPr>
      <w:r>
        <w:rPr>
          <w:rFonts w:ascii="宋体" w:hAnsi="宋体" w:eastAsia="宋体"/>
          <w:color w:val="000000"/>
        </w:rPr>
        <w:t xml:space="preserve">5.1 </w:t>
      </w:r>
      <w:r>
        <w:rPr>
          <w:rFonts w:hint="eastAsia" w:ascii="宋体" w:hAnsi="宋体" w:eastAsia="宋体"/>
          <w:color w:val="000000"/>
        </w:rPr>
        <w:t>开标时间和地点</w:t>
      </w:r>
    </w:p>
    <w:p>
      <w:pPr>
        <w:spacing w:line="400" w:lineRule="exact"/>
        <w:ind w:firstLine="480" w:firstLineChars="200"/>
        <w:rPr>
          <w:rFonts w:ascii="宋体" w:hAnsi="宋体"/>
          <w:color w:val="000000"/>
        </w:rPr>
      </w:pPr>
      <w:r>
        <w:rPr>
          <w:rFonts w:hint="eastAsia" w:ascii="Times New Roman" w:hAnsi="Times New Roman" w:cs="楷体"/>
          <w:bCs/>
          <w:snapToGrid w:val="0"/>
          <w:color w:val="000000"/>
          <w:kern w:val="0"/>
          <w:szCs w:val="21"/>
        </w:rPr>
        <w:t>招标人在本章第4.2.1项规定的投标截止时间（开标时间），</w:t>
      </w:r>
    </w:p>
    <w:p>
      <w:pPr>
        <w:pStyle w:val="5"/>
        <w:spacing w:line="240" w:lineRule="auto"/>
        <w:ind w:firstLine="137"/>
        <w:rPr>
          <w:rFonts w:ascii="宋体" w:hAnsi="宋体" w:eastAsia="宋体"/>
          <w:color w:val="000000"/>
        </w:rPr>
      </w:pPr>
      <w:r>
        <w:rPr>
          <w:rFonts w:ascii="宋体" w:hAnsi="宋体" w:eastAsia="宋体"/>
          <w:color w:val="000000"/>
        </w:rPr>
        <w:t xml:space="preserve">5.2 </w:t>
      </w:r>
      <w:r>
        <w:rPr>
          <w:rFonts w:hint="eastAsia" w:ascii="宋体" w:hAnsi="宋体" w:eastAsia="宋体"/>
          <w:color w:val="000000"/>
        </w:rPr>
        <w:t>开标程序</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除投标人须知前附表另有规定外，主持人按下列程序进行开标：</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（1）公布在投标截止时间前通过</w:t>
      </w:r>
      <w:r>
        <w:rPr>
          <w:rFonts w:hint="eastAsia" w:ascii="Times New Roman" w:hAnsi="Times New Roman" w:eastAsia="宋体" w:cs="楷体"/>
          <w:bCs/>
          <w:snapToGrid w:val="0"/>
          <w:color w:val="000000"/>
          <w:kern w:val="0"/>
          <w:szCs w:val="21"/>
          <w:lang w:eastAsia="zh-CN"/>
        </w:rPr>
        <w:t>招标人</w:t>
      </w:r>
      <w:r>
        <w:rPr>
          <w:rFonts w:hint="eastAsia" w:ascii="Times New Roman" w:hAnsi="Times New Roman" w:cs="楷体"/>
          <w:bCs/>
          <w:snapToGrid w:val="0"/>
          <w:color w:val="000000"/>
          <w:kern w:val="0"/>
          <w:szCs w:val="21"/>
        </w:rPr>
        <w:t>完成投标文件递交的投标人名称；</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（2）由投标人推选的代表检查非加密投标文件及银行保函原件的密封情况（如有）；</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hint="eastAsia" w:ascii="Times New Roman" w:hAnsi="Times New Roman" w:eastAsia="宋体" w:cs="楷体"/>
          <w:bCs/>
          <w:snapToGrid w:val="0"/>
          <w:color w:val="000000"/>
          <w:kern w:val="0"/>
          <w:szCs w:val="21"/>
          <w:lang w:val="en-US" w:eastAsia="zh-CN"/>
        </w:rPr>
        <w:t>3</w:t>
      </w:r>
      <w:r>
        <w:rPr>
          <w:rFonts w:hint="eastAsia" w:ascii="Times New Roman" w:hAnsi="Times New Roman" w:cs="楷体"/>
          <w:bCs/>
          <w:snapToGrid w:val="0"/>
          <w:color w:val="000000"/>
          <w:kern w:val="0"/>
          <w:szCs w:val="21"/>
        </w:rPr>
        <w:t>）按投标人须知前附表规定公布投标文件相应内容；</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w:t>
      </w:r>
      <w:r>
        <w:rPr>
          <w:rFonts w:hint="eastAsia" w:ascii="Times New Roman" w:hAnsi="Times New Roman" w:eastAsia="宋体" w:cs="楷体"/>
          <w:bCs/>
          <w:snapToGrid w:val="0"/>
          <w:color w:val="000000"/>
          <w:kern w:val="0"/>
          <w:szCs w:val="21"/>
          <w:lang w:val="en-US" w:eastAsia="zh-CN"/>
        </w:rPr>
        <w:t>4</w:t>
      </w:r>
      <w:r>
        <w:rPr>
          <w:rFonts w:hint="eastAsia" w:ascii="Times New Roman" w:hAnsi="Times New Roman" w:cs="楷体"/>
          <w:bCs/>
          <w:snapToGrid w:val="0"/>
          <w:color w:val="000000"/>
          <w:kern w:val="0"/>
          <w:szCs w:val="21"/>
        </w:rPr>
        <w:t>）开标结束。</w:t>
      </w:r>
    </w:p>
    <w:p>
      <w:pPr>
        <w:spacing w:line="400" w:lineRule="exact"/>
        <w:ind w:firstLine="480" w:firstLineChars="200"/>
        <w:rPr>
          <w:rFonts w:ascii="Times New Roman" w:hAnsi="Times New Roman" w:cs="楷体"/>
          <w:bCs/>
          <w:snapToGrid w:val="0"/>
          <w:color w:val="000000"/>
          <w:kern w:val="0"/>
          <w:szCs w:val="21"/>
        </w:rPr>
      </w:pPr>
    </w:p>
    <w:p>
      <w:pPr>
        <w:pStyle w:val="4"/>
        <w:rPr>
          <w:rFonts w:ascii="宋体" w:hAnsi="宋体" w:eastAsia="宋体"/>
          <w:color w:val="000000"/>
        </w:rPr>
      </w:pPr>
      <w:bookmarkStart w:id="106" w:name="_Toc72221879"/>
      <w:r>
        <w:rPr>
          <w:rFonts w:ascii="宋体" w:hAnsi="宋体" w:eastAsia="宋体"/>
          <w:color w:val="000000"/>
        </w:rPr>
        <w:t xml:space="preserve">6. </w:t>
      </w:r>
      <w:r>
        <w:rPr>
          <w:rFonts w:hint="eastAsia" w:ascii="宋体" w:hAnsi="宋体" w:eastAsia="宋体"/>
          <w:color w:val="000000"/>
        </w:rPr>
        <w:t>评标</w:t>
      </w:r>
      <w:bookmarkEnd w:id="106"/>
    </w:p>
    <w:p>
      <w:pPr>
        <w:pStyle w:val="5"/>
        <w:spacing w:line="240" w:lineRule="auto"/>
        <w:ind w:firstLine="137"/>
        <w:rPr>
          <w:rFonts w:ascii="宋体" w:hAnsi="宋体" w:eastAsia="宋体"/>
          <w:color w:val="000000"/>
        </w:rPr>
      </w:pPr>
      <w:r>
        <w:rPr>
          <w:rFonts w:ascii="宋体" w:hAnsi="宋体" w:eastAsia="宋体"/>
          <w:color w:val="000000"/>
        </w:rPr>
        <w:t xml:space="preserve">6.1 </w:t>
      </w:r>
      <w:r>
        <w:rPr>
          <w:rFonts w:hint="eastAsia" w:ascii="宋体" w:hAnsi="宋体" w:eastAsia="宋体"/>
          <w:color w:val="000000"/>
        </w:rPr>
        <w:t>评标委员会</w:t>
      </w:r>
    </w:p>
    <w:p>
      <w:pPr>
        <w:spacing w:line="400" w:lineRule="exact"/>
        <w:ind w:firstLine="480" w:firstLineChars="200"/>
        <w:rPr>
          <w:rFonts w:ascii="宋体" w:hAnsi="宋体"/>
          <w:color w:val="000000"/>
        </w:rPr>
      </w:pPr>
      <w:r>
        <w:rPr>
          <w:rFonts w:ascii="宋体" w:hAnsi="宋体"/>
          <w:color w:val="000000"/>
        </w:rPr>
        <w:t>6.1.1</w:t>
      </w:r>
      <w:r>
        <w:rPr>
          <w:rFonts w:hint="eastAsia" w:ascii="宋体" w:hAnsi="宋体"/>
          <w:color w:val="000000"/>
        </w:rPr>
        <w:t xml:space="preserve">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000000"/>
        </w:rPr>
      </w:pPr>
      <w:r>
        <w:rPr>
          <w:rFonts w:ascii="宋体" w:hAnsi="宋体"/>
          <w:color w:val="000000"/>
        </w:rPr>
        <w:t>6.1.2</w:t>
      </w:r>
      <w:r>
        <w:rPr>
          <w:rFonts w:hint="eastAsia" w:ascii="宋体" w:hAnsi="宋体"/>
          <w:color w:val="000000"/>
        </w:rPr>
        <w:t xml:space="preserve"> 评标委员会成员有下列情形之一的，应当回避：</w:t>
      </w:r>
    </w:p>
    <w:p>
      <w:pPr>
        <w:spacing w:line="400" w:lineRule="exact"/>
        <w:ind w:firstLine="480" w:firstLineChars="200"/>
        <w:rPr>
          <w:rFonts w:ascii="宋体" w:hAnsi="宋体"/>
          <w:color w:val="000000"/>
        </w:rPr>
      </w:pPr>
      <w:r>
        <w:rPr>
          <w:rFonts w:hint="eastAsia" w:ascii="宋体" w:hAnsi="宋体"/>
          <w:color w:val="000000"/>
        </w:rPr>
        <w:t>（1）投标人或投标人主要负责人的近亲属；</w:t>
      </w:r>
    </w:p>
    <w:p>
      <w:pPr>
        <w:spacing w:line="400" w:lineRule="exact"/>
        <w:ind w:firstLine="480" w:firstLineChars="200"/>
        <w:rPr>
          <w:rFonts w:ascii="宋体" w:hAnsi="宋体"/>
          <w:color w:val="000000"/>
        </w:rPr>
      </w:pPr>
      <w:r>
        <w:rPr>
          <w:rFonts w:hint="eastAsia" w:ascii="宋体" w:hAnsi="宋体"/>
          <w:color w:val="000000"/>
        </w:rPr>
        <w:t>（2）项目主管部门或者行政监督部门的人员；</w:t>
      </w:r>
    </w:p>
    <w:p>
      <w:pPr>
        <w:spacing w:line="400" w:lineRule="exact"/>
        <w:ind w:firstLine="480" w:firstLineChars="200"/>
        <w:rPr>
          <w:rFonts w:ascii="宋体" w:hAnsi="宋体"/>
          <w:color w:val="000000"/>
        </w:rPr>
      </w:pPr>
      <w:r>
        <w:rPr>
          <w:rFonts w:hint="eastAsia" w:ascii="宋体" w:hAnsi="宋体"/>
          <w:color w:val="000000"/>
        </w:rPr>
        <w:t>（3）与投标人有经济利益关系，可能影响对投标公正评审的；</w:t>
      </w:r>
    </w:p>
    <w:p>
      <w:pPr>
        <w:spacing w:line="400" w:lineRule="exact"/>
        <w:ind w:firstLine="480" w:firstLineChars="200"/>
        <w:rPr>
          <w:rFonts w:ascii="宋体" w:hAnsi="宋体"/>
          <w:color w:val="000000"/>
        </w:rPr>
      </w:pPr>
      <w:r>
        <w:rPr>
          <w:rFonts w:hint="eastAsia" w:ascii="宋体" w:hAnsi="宋体"/>
          <w:color w:val="000000"/>
        </w:rPr>
        <w:t>（4）曾因在招标、评</w:t>
      </w:r>
      <w:bookmarkStart w:id="107" w:name="_Toc352691499"/>
      <w:bookmarkStart w:id="108" w:name="_Toc361508612"/>
      <w:bookmarkStart w:id="109" w:name="_Toc369531543"/>
      <w:bookmarkStart w:id="110" w:name="_Toc152042331"/>
      <w:bookmarkStart w:id="111" w:name="_Toc152045555"/>
      <w:bookmarkStart w:id="112" w:name="_Toc6230"/>
      <w:bookmarkStart w:id="113" w:name="_Toc247513979"/>
      <w:bookmarkStart w:id="114" w:name="_Toc300834976"/>
      <w:bookmarkStart w:id="115" w:name="_Toc144974523"/>
      <w:bookmarkStart w:id="116" w:name="_Toc247527580"/>
      <w:bookmarkStart w:id="117" w:name="_Toc384308237"/>
      <w:r>
        <w:rPr>
          <w:rFonts w:hint="eastAsia" w:ascii="宋体" w:hAnsi="宋体"/>
          <w:color w:val="000000"/>
        </w:rPr>
        <w:t>标以及其他</w:t>
      </w:r>
      <w:bookmarkEnd w:id="107"/>
      <w:bookmarkEnd w:id="108"/>
      <w:bookmarkEnd w:id="109"/>
      <w:bookmarkEnd w:id="110"/>
      <w:bookmarkEnd w:id="111"/>
      <w:bookmarkEnd w:id="112"/>
      <w:bookmarkEnd w:id="113"/>
      <w:bookmarkEnd w:id="114"/>
      <w:bookmarkEnd w:id="115"/>
      <w:bookmarkEnd w:id="116"/>
      <w:bookmarkEnd w:id="117"/>
      <w:r>
        <w:rPr>
          <w:rFonts w:hint="eastAsia" w:ascii="宋体" w:hAnsi="宋体"/>
          <w:color w:val="000000"/>
        </w:rPr>
        <w:t>与</w:t>
      </w:r>
      <w:bookmarkStart w:id="118" w:name="_Toc152042332"/>
      <w:bookmarkStart w:id="119" w:name="_Toc352691500"/>
      <w:bookmarkStart w:id="120" w:name="_Toc300834977"/>
      <w:bookmarkStart w:id="121" w:name="_Toc369531544"/>
      <w:bookmarkStart w:id="122" w:name="_Toc17703"/>
      <w:bookmarkStart w:id="123" w:name="_Toc247513980"/>
      <w:bookmarkStart w:id="124" w:name="_Toc247527581"/>
      <w:bookmarkStart w:id="125" w:name="_Toc152045556"/>
      <w:bookmarkStart w:id="126" w:name="_Toc144974524"/>
      <w:bookmarkStart w:id="127" w:name="_Toc384308238"/>
      <w:bookmarkStart w:id="128" w:name="_Toc361508613"/>
      <w:r>
        <w:rPr>
          <w:rFonts w:hint="eastAsia" w:ascii="宋体" w:hAnsi="宋体"/>
          <w:color w:val="000000"/>
        </w:rPr>
        <w:t>招标投标有关活动中从事违法行</w:t>
      </w:r>
      <w:bookmarkEnd w:id="118"/>
      <w:bookmarkEnd w:id="119"/>
      <w:bookmarkEnd w:id="120"/>
      <w:bookmarkEnd w:id="121"/>
      <w:bookmarkEnd w:id="122"/>
      <w:bookmarkEnd w:id="123"/>
      <w:bookmarkEnd w:id="124"/>
      <w:bookmarkEnd w:id="125"/>
      <w:bookmarkEnd w:id="126"/>
      <w:bookmarkEnd w:id="127"/>
      <w:bookmarkEnd w:id="128"/>
      <w:r>
        <w:rPr>
          <w:rFonts w:hint="eastAsia" w:ascii="宋体" w:hAnsi="宋体"/>
          <w:color w:val="000000"/>
        </w:rPr>
        <w:t>为而受过行政处罚或刑事处罚的；</w:t>
      </w:r>
    </w:p>
    <w:p>
      <w:pPr>
        <w:spacing w:line="400" w:lineRule="exact"/>
        <w:ind w:firstLine="480" w:firstLineChars="200"/>
        <w:rPr>
          <w:rFonts w:ascii="宋体" w:hAnsi="宋体"/>
          <w:color w:val="000000"/>
        </w:rPr>
      </w:pPr>
      <w:r>
        <w:rPr>
          <w:rFonts w:hint="eastAsia" w:ascii="宋体" w:hAnsi="宋体"/>
          <w:color w:val="000000"/>
        </w:rPr>
        <w:t>（5）与投标人有其他利害关系。</w:t>
      </w:r>
    </w:p>
    <w:p>
      <w:pPr>
        <w:spacing w:line="400" w:lineRule="exact"/>
        <w:ind w:firstLine="480" w:firstLineChars="200"/>
        <w:rPr>
          <w:rFonts w:ascii="宋体" w:hAnsi="宋体"/>
          <w:color w:val="000000"/>
        </w:rPr>
      </w:pPr>
      <w:r>
        <w:rPr>
          <w:rFonts w:ascii="宋体" w:hAnsi="宋体"/>
          <w:color w:val="000000"/>
        </w:rPr>
        <w:t>6.1.3</w:t>
      </w:r>
      <w:r>
        <w:rPr>
          <w:rFonts w:hint="eastAsia" w:ascii="宋体" w:hAnsi="宋体"/>
          <w:color w:val="000000"/>
        </w:rPr>
        <w:t xml:space="preserve">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line="240" w:lineRule="auto"/>
        <w:ind w:firstLine="137"/>
        <w:rPr>
          <w:rFonts w:ascii="宋体" w:hAnsi="宋体" w:eastAsia="宋体"/>
          <w:color w:val="000000"/>
        </w:rPr>
      </w:pPr>
      <w:r>
        <w:rPr>
          <w:rFonts w:ascii="宋体" w:hAnsi="宋体" w:eastAsia="宋体"/>
          <w:color w:val="000000"/>
        </w:rPr>
        <w:t xml:space="preserve">6.2 </w:t>
      </w:r>
      <w:r>
        <w:rPr>
          <w:rFonts w:hint="eastAsia" w:ascii="宋体" w:hAnsi="宋体" w:eastAsia="宋体"/>
          <w:color w:val="000000"/>
        </w:rPr>
        <w:t>评标原则</w:t>
      </w:r>
    </w:p>
    <w:p>
      <w:pPr>
        <w:spacing w:line="400" w:lineRule="exact"/>
        <w:ind w:firstLine="480" w:firstLineChars="200"/>
        <w:rPr>
          <w:rFonts w:ascii="宋体" w:hAnsi="宋体"/>
          <w:color w:val="000000"/>
        </w:rPr>
      </w:pPr>
      <w:r>
        <w:rPr>
          <w:rFonts w:hint="eastAsia" w:ascii="宋体" w:hAnsi="宋体"/>
          <w:color w:val="000000"/>
        </w:rPr>
        <w:t>评标活动遵循公平、公正、科学和择优的原</w:t>
      </w:r>
      <w:bookmarkStart w:id="129" w:name="_Toc384308239"/>
      <w:bookmarkStart w:id="130" w:name="_Toc152042333"/>
      <w:bookmarkStart w:id="131" w:name="_Toc144974525"/>
      <w:bookmarkStart w:id="132" w:name="_Toc247513981"/>
      <w:bookmarkStart w:id="133" w:name="_Toc369531545"/>
      <w:bookmarkStart w:id="134" w:name="_Toc247527582"/>
      <w:bookmarkStart w:id="135" w:name="_Toc352691501"/>
      <w:bookmarkStart w:id="136" w:name="_Toc361508614"/>
      <w:bookmarkStart w:id="137" w:name="_Toc152045557"/>
      <w:bookmarkStart w:id="138" w:name="_Toc18949"/>
      <w:bookmarkStart w:id="139" w:name="_Toc300834978"/>
      <w:r>
        <w:rPr>
          <w:rFonts w:hint="eastAsia" w:ascii="宋体" w:hAnsi="宋体"/>
          <w:color w:val="000000"/>
        </w:rPr>
        <w:t>则。</w:t>
      </w:r>
    </w:p>
    <w:p>
      <w:pPr>
        <w:pStyle w:val="5"/>
        <w:spacing w:line="240" w:lineRule="auto"/>
        <w:ind w:firstLine="137"/>
        <w:rPr>
          <w:rFonts w:ascii="宋体" w:hAnsi="宋体" w:eastAsia="宋体"/>
          <w:color w:val="000000"/>
        </w:rPr>
      </w:pPr>
      <w:r>
        <w:rPr>
          <w:rFonts w:ascii="宋体" w:hAnsi="宋体" w:eastAsia="宋体"/>
          <w:color w:val="000000"/>
        </w:rPr>
        <w:t xml:space="preserve">6.3 </w:t>
      </w:r>
      <w:r>
        <w:rPr>
          <w:rFonts w:hint="eastAsia" w:ascii="宋体" w:hAnsi="宋体" w:eastAsia="宋体"/>
          <w:color w:val="000000"/>
        </w:rPr>
        <w:t>评标</w:t>
      </w:r>
    </w:p>
    <w:p>
      <w:pPr>
        <w:spacing w:line="400" w:lineRule="exact"/>
        <w:ind w:firstLine="480" w:firstLineChars="200"/>
        <w:rPr>
          <w:rFonts w:ascii="宋体" w:hAnsi="宋体"/>
          <w:color w:val="000000"/>
        </w:rPr>
      </w:pPr>
      <w:r>
        <w:rPr>
          <w:rFonts w:ascii="宋体" w:hAnsi="宋体"/>
          <w:color w:val="000000"/>
        </w:rPr>
        <w:t>6</w:t>
      </w:r>
      <w:bookmarkEnd w:id="129"/>
      <w:bookmarkEnd w:id="130"/>
      <w:bookmarkEnd w:id="131"/>
      <w:bookmarkEnd w:id="132"/>
      <w:bookmarkEnd w:id="133"/>
      <w:bookmarkEnd w:id="134"/>
      <w:bookmarkEnd w:id="135"/>
      <w:bookmarkEnd w:id="136"/>
      <w:bookmarkEnd w:id="137"/>
      <w:bookmarkEnd w:id="138"/>
      <w:bookmarkEnd w:id="139"/>
      <w:r>
        <w:rPr>
          <w:rFonts w:ascii="宋体" w:hAnsi="宋体"/>
          <w:color w:val="000000"/>
        </w:rPr>
        <w:t>.3.1</w:t>
      </w:r>
      <w:r>
        <w:rPr>
          <w:rFonts w:hint="eastAsia" w:ascii="宋体" w:hAnsi="宋体"/>
          <w:color w:val="000000"/>
        </w:rPr>
        <w:t xml:space="preserve"> 评标委员会按照第三章“评标办法”规定的方法、评审因素、标准和程序对投标文件进行评审。第三章“评标办法”没有规定的方法、评审因素和标准，不作为评标依据。</w:t>
      </w:r>
    </w:p>
    <w:p>
      <w:pPr>
        <w:spacing w:line="400" w:lineRule="exact"/>
        <w:ind w:firstLine="480" w:firstLineChars="200"/>
        <w:rPr>
          <w:rFonts w:ascii="宋体" w:hAnsi="宋体"/>
          <w:color w:val="000000"/>
        </w:rPr>
      </w:pPr>
      <w:r>
        <w:rPr>
          <w:rFonts w:ascii="宋体" w:hAnsi="宋体"/>
          <w:color w:val="000000"/>
        </w:rPr>
        <w:t>6.3.2</w:t>
      </w:r>
      <w:r>
        <w:rPr>
          <w:rFonts w:hint="eastAsia" w:ascii="宋体" w:hAnsi="宋体"/>
          <w:color w:val="000000"/>
        </w:rPr>
        <w:t xml:space="preserve"> 评标完成后，评标委员会应当向招标人提交书面评标报告和中标候选人名单。评标委员会推荐中标</w:t>
      </w:r>
      <w:bookmarkStart w:id="140" w:name="_Toc12259"/>
      <w:bookmarkStart w:id="141" w:name="_Toc369531546"/>
      <w:bookmarkStart w:id="142" w:name="_Toc352691502"/>
      <w:bookmarkStart w:id="143" w:name="_Toc144974526"/>
      <w:bookmarkStart w:id="144" w:name="_Toc361508615"/>
      <w:bookmarkStart w:id="145" w:name="_Toc247513982"/>
      <w:bookmarkStart w:id="146" w:name="_Toc247527583"/>
      <w:bookmarkStart w:id="147" w:name="_Toc152045558"/>
      <w:bookmarkStart w:id="148" w:name="_Toc152042334"/>
      <w:bookmarkStart w:id="149" w:name="_Toc384308240"/>
      <w:bookmarkStart w:id="150" w:name="_Toc300834979"/>
      <w:r>
        <w:rPr>
          <w:rFonts w:hint="eastAsia" w:ascii="宋体" w:hAnsi="宋体"/>
          <w:color w:val="000000"/>
        </w:rPr>
        <w:t>候选人的人数见投标人须知前附</w:t>
      </w:r>
      <w:bookmarkEnd w:id="140"/>
      <w:bookmarkEnd w:id="141"/>
      <w:bookmarkEnd w:id="142"/>
      <w:bookmarkEnd w:id="143"/>
      <w:bookmarkEnd w:id="144"/>
      <w:bookmarkEnd w:id="145"/>
      <w:bookmarkEnd w:id="146"/>
      <w:bookmarkEnd w:id="147"/>
      <w:bookmarkEnd w:id="148"/>
      <w:bookmarkEnd w:id="149"/>
      <w:bookmarkEnd w:id="150"/>
      <w:r>
        <w:rPr>
          <w:rFonts w:hint="eastAsia" w:ascii="宋体" w:hAnsi="宋体"/>
          <w:color w:val="000000"/>
        </w:rPr>
        <w:t>表。</w:t>
      </w:r>
    </w:p>
    <w:p>
      <w:pPr>
        <w:pStyle w:val="4"/>
        <w:rPr>
          <w:rFonts w:ascii="宋体" w:hAnsi="宋体" w:eastAsia="宋体"/>
          <w:color w:val="000000"/>
        </w:rPr>
      </w:pPr>
      <w:bookmarkStart w:id="151" w:name="_Toc72221880"/>
      <w:r>
        <w:rPr>
          <w:rFonts w:ascii="宋体" w:hAnsi="宋体" w:eastAsia="宋体"/>
          <w:color w:val="000000"/>
        </w:rPr>
        <w:t xml:space="preserve">7. </w:t>
      </w:r>
      <w:r>
        <w:rPr>
          <w:rFonts w:hint="eastAsia" w:ascii="宋体" w:hAnsi="宋体" w:eastAsia="宋体"/>
          <w:color w:val="000000"/>
        </w:rPr>
        <w:t>合同授予</w:t>
      </w:r>
      <w:bookmarkEnd w:id="151"/>
    </w:p>
    <w:p>
      <w:pPr>
        <w:pStyle w:val="5"/>
        <w:spacing w:line="240" w:lineRule="auto"/>
        <w:ind w:firstLine="137"/>
        <w:rPr>
          <w:rFonts w:ascii="宋体" w:hAnsi="宋体" w:eastAsia="宋体"/>
          <w:color w:val="000000"/>
        </w:rPr>
      </w:pPr>
      <w:r>
        <w:rPr>
          <w:rFonts w:ascii="宋体" w:hAnsi="宋体" w:eastAsia="宋体"/>
          <w:color w:val="000000"/>
        </w:rPr>
        <w:t xml:space="preserve">7.1 </w:t>
      </w:r>
      <w:r>
        <w:rPr>
          <w:rFonts w:hint="eastAsia" w:ascii="宋体" w:hAnsi="宋体" w:eastAsia="宋体"/>
          <w:color w:val="000000"/>
        </w:rPr>
        <w:t>中标候选人公示</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招标人在收到评标报告之日起</w:t>
      </w:r>
      <w:r>
        <w:rPr>
          <w:rFonts w:ascii="Times New Roman" w:hAnsi="Times New Roman" w:cs="楷体"/>
          <w:bCs/>
          <w:snapToGrid w:val="0"/>
          <w:color w:val="000000"/>
          <w:kern w:val="0"/>
          <w:szCs w:val="21"/>
        </w:rPr>
        <w:t>3</w:t>
      </w:r>
      <w:r>
        <w:rPr>
          <w:rFonts w:hint="eastAsia" w:ascii="Times New Roman" w:hAnsi="Times New Roman" w:cs="楷体"/>
          <w:bCs/>
          <w:snapToGrid w:val="0"/>
          <w:color w:val="000000"/>
          <w:kern w:val="0"/>
          <w:szCs w:val="21"/>
        </w:rPr>
        <w:t>日内，按照投标人须知前附表规定的公示媒介和期限依法公示中标候选人，公示期不得少于</w:t>
      </w:r>
      <w:r>
        <w:rPr>
          <w:rFonts w:ascii="Times New Roman" w:hAnsi="Times New Roman" w:cs="楷体"/>
          <w:bCs/>
          <w:snapToGrid w:val="0"/>
          <w:color w:val="000000"/>
          <w:kern w:val="0"/>
          <w:szCs w:val="21"/>
        </w:rPr>
        <w:t>3</w:t>
      </w:r>
      <w:r>
        <w:rPr>
          <w:rFonts w:hint="eastAsia" w:ascii="Times New Roman" w:hAnsi="Times New Roman" w:cs="楷体"/>
          <w:bCs/>
          <w:snapToGrid w:val="0"/>
          <w:color w:val="000000"/>
          <w:kern w:val="0"/>
          <w:szCs w:val="21"/>
        </w:rPr>
        <w:t>日。</w:t>
      </w:r>
    </w:p>
    <w:p>
      <w:pPr>
        <w:pStyle w:val="5"/>
        <w:spacing w:line="240" w:lineRule="auto"/>
        <w:ind w:firstLine="137"/>
        <w:rPr>
          <w:rFonts w:ascii="宋体" w:hAnsi="宋体" w:eastAsia="宋体"/>
          <w:color w:val="000000"/>
        </w:rPr>
      </w:pPr>
      <w:r>
        <w:rPr>
          <w:rFonts w:ascii="宋体" w:hAnsi="宋体" w:eastAsia="宋体"/>
          <w:color w:val="000000"/>
        </w:rPr>
        <w:t xml:space="preserve">7.2 </w:t>
      </w:r>
      <w:r>
        <w:rPr>
          <w:rFonts w:hint="eastAsia" w:ascii="宋体" w:hAnsi="宋体" w:eastAsia="宋体"/>
          <w:color w:val="000000"/>
        </w:rPr>
        <w:t>评标结果异议</w:t>
      </w:r>
    </w:p>
    <w:p>
      <w:pPr>
        <w:spacing w:line="400" w:lineRule="exact"/>
        <w:ind w:firstLine="480" w:firstLineChars="200"/>
        <w:rPr>
          <w:rFonts w:ascii="宋体" w:hAnsi="宋体"/>
          <w:color w:val="000000"/>
        </w:rPr>
      </w:pPr>
      <w:r>
        <w:rPr>
          <w:rFonts w:hint="eastAsia" w:ascii="宋体" w:hAnsi="宋体"/>
          <w:color w:val="000000"/>
        </w:rPr>
        <w:t>投标人或者其他利</w:t>
      </w:r>
      <w:bookmarkStart w:id="152" w:name="_Toc369531549"/>
      <w:bookmarkStart w:id="153" w:name="_Toc361508618"/>
      <w:bookmarkStart w:id="154" w:name="_Toc384308243"/>
      <w:bookmarkStart w:id="155" w:name="_Toc247527586"/>
      <w:bookmarkStart w:id="156" w:name="_Toc247513985"/>
      <w:bookmarkStart w:id="157" w:name="_Toc152045561"/>
      <w:bookmarkStart w:id="158" w:name="_Toc152042337"/>
      <w:bookmarkStart w:id="159" w:name="_Toc144974529"/>
      <w:bookmarkStart w:id="160" w:name="_Toc300834982"/>
      <w:bookmarkStart w:id="161" w:name="_Toc352691505"/>
      <w:bookmarkStart w:id="162" w:name="_Toc30095"/>
      <w:r>
        <w:rPr>
          <w:rFonts w:hint="eastAsia" w:ascii="宋体" w:hAnsi="宋体"/>
          <w:color w:val="000000"/>
        </w:rPr>
        <w:t>害关系人对评标结</w:t>
      </w:r>
      <w:bookmarkEnd w:id="152"/>
      <w:bookmarkEnd w:id="153"/>
      <w:bookmarkEnd w:id="154"/>
      <w:bookmarkEnd w:id="155"/>
      <w:bookmarkEnd w:id="156"/>
      <w:bookmarkEnd w:id="157"/>
      <w:bookmarkEnd w:id="158"/>
      <w:bookmarkEnd w:id="159"/>
      <w:bookmarkEnd w:id="160"/>
      <w:bookmarkEnd w:id="161"/>
      <w:bookmarkEnd w:id="162"/>
      <w:r>
        <w:rPr>
          <w:rFonts w:hint="eastAsia" w:ascii="宋体" w:hAnsi="宋体"/>
          <w:color w:val="000000"/>
        </w:rPr>
        <w:t>果有异议的，应当在中标候选人公示期间提出。招标人将在收到异议之日起3日内作出答复；作出答复前，将暂停招标投标活动。</w:t>
      </w:r>
    </w:p>
    <w:p>
      <w:pPr>
        <w:pStyle w:val="5"/>
        <w:spacing w:line="240" w:lineRule="auto"/>
        <w:ind w:firstLine="137"/>
        <w:rPr>
          <w:rFonts w:ascii="宋体" w:hAnsi="宋体" w:eastAsia="宋体"/>
          <w:color w:val="000000"/>
        </w:rPr>
      </w:pPr>
      <w:r>
        <w:rPr>
          <w:rFonts w:ascii="宋体" w:hAnsi="宋体" w:eastAsia="宋体"/>
          <w:color w:val="000000"/>
        </w:rPr>
        <w:t xml:space="preserve">7.3 </w:t>
      </w:r>
      <w:r>
        <w:rPr>
          <w:rFonts w:hint="eastAsia" w:ascii="宋体" w:hAnsi="宋体" w:eastAsia="宋体"/>
          <w:color w:val="000000"/>
        </w:rPr>
        <w:t>中标候选人履约能力审查</w:t>
      </w:r>
    </w:p>
    <w:p>
      <w:pPr>
        <w:spacing w:line="400" w:lineRule="exact"/>
        <w:ind w:firstLine="480" w:firstLineChars="200"/>
        <w:rPr>
          <w:rFonts w:ascii="宋体" w:hAnsi="宋体"/>
          <w:color w:val="000000"/>
        </w:rPr>
      </w:pPr>
      <w:r>
        <w:rPr>
          <w:rFonts w:hint="eastAsia" w:ascii="宋体" w:hAnsi="宋体"/>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line="240" w:lineRule="auto"/>
        <w:ind w:firstLine="137"/>
        <w:rPr>
          <w:rFonts w:ascii="宋体" w:hAnsi="宋体" w:eastAsia="宋体"/>
          <w:color w:val="000000"/>
        </w:rPr>
      </w:pPr>
      <w:r>
        <w:rPr>
          <w:rFonts w:ascii="宋体" w:hAnsi="宋体" w:eastAsia="宋体"/>
          <w:color w:val="000000"/>
        </w:rPr>
        <w:t xml:space="preserve">7.4 </w:t>
      </w:r>
      <w:r>
        <w:rPr>
          <w:rFonts w:hint="eastAsia" w:ascii="宋体" w:hAnsi="宋体" w:eastAsia="宋体"/>
          <w:color w:val="000000"/>
        </w:rPr>
        <w:t>定标</w:t>
      </w:r>
    </w:p>
    <w:p>
      <w:pPr>
        <w:spacing w:line="400" w:lineRule="exact"/>
        <w:ind w:firstLine="480" w:firstLineChars="200"/>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line="240" w:lineRule="auto"/>
        <w:ind w:firstLine="137"/>
        <w:rPr>
          <w:rFonts w:ascii="宋体" w:hAnsi="宋体" w:eastAsia="宋体"/>
          <w:color w:val="000000"/>
        </w:rPr>
      </w:pPr>
      <w:r>
        <w:rPr>
          <w:rFonts w:ascii="宋体" w:hAnsi="宋体" w:eastAsia="宋体"/>
          <w:color w:val="000000"/>
        </w:rPr>
        <w:t xml:space="preserve">7.5 </w:t>
      </w:r>
      <w:r>
        <w:rPr>
          <w:rFonts w:hint="eastAsia" w:ascii="宋体" w:hAnsi="宋体" w:eastAsia="宋体"/>
          <w:color w:val="000000"/>
        </w:rPr>
        <w:t>中标通知</w:t>
      </w:r>
    </w:p>
    <w:p>
      <w:pPr>
        <w:spacing w:line="400" w:lineRule="exact"/>
        <w:ind w:firstLine="480" w:firstLineChars="200"/>
        <w:rPr>
          <w:rFonts w:ascii="宋体" w:hAnsi="宋体"/>
          <w:color w:val="000000"/>
        </w:rPr>
      </w:pPr>
      <w:r>
        <w:rPr>
          <w:rFonts w:hint="eastAsia" w:ascii="宋体" w:hAnsi="宋体"/>
          <w:color w:val="000000"/>
        </w:rPr>
        <w:t>在本章第3.3款规定的投标有效期内，招标人以书面形式向中标人发出中标</w:t>
      </w:r>
      <w:bookmarkStart w:id="163" w:name="_Toc300834983"/>
      <w:bookmarkStart w:id="164" w:name="_Toc384308244"/>
      <w:bookmarkStart w:id="165" w:name="_Toc352691506"/>
      <w:bookmarkStart w:id="166" w:name="_Toc369531550"/>
      <w:bookmarkStart w:id="167" w:name="_Toc361508619"/>
      <w:bookmarkStart w:id="168" w:name="_Toc5668"/>
      <w:r>
        <w:rPr>
          <w:rFonts w:hint="eastAsia" w:ascii="宋体" w:hAnsi="宋体"/>
          <w:color w:val="000000"/>
        </w:rPr>
        <w:t>通知书，同时将中</w:t>
      </w:r>
      <w:bookmarkEnd w:id="163"/>
      <w:bookmarkEnd w:id="164"/>
      <w:bookmarkEnd w:id="165"/>
      <w:bookmarkEnd w:id="166"/>
      <w:bookmarkEnd w:id="167"/>
      <w:bookmarkEnd w:id="168"/>
      <w:r>
        <w:rPr>
          <w:rFonts w:hint="eastAsia" w:ascii="宋体" w:hAnsi="宋体"/>
          <w:color w:val="000000"/>
        </w:rPr>
        <w:t>标结果通知未中标的投标人。</w:t>
      </w:r>
    </w:p>
    <w:p>
      <w:pPr>
        <w:pStyle w:val="5"/>
        <w:spacing w:line="360" w:lineRule="auto"/>
        <w:ind w:firstLine="137"/>
        <w:rPr>
          <w:rFonts w:ascii="宋体" w:hAnsi="宋体" w:eastAsia="宋体"/>
        </w:rPr>
      </w:pPr>
      <w:r>
        <w:rPr>
          <w:rFonts w:ascii="宋体" w:hAnsi="宋体" w:eastAsia="宋体"/>
          <w:snapToGrid w:val="0"/>
        </w:rPr>
        <w:t xml:space="preserve">7.6 </w:t>
      </w:r>
      <w:r>
        <w:rPr>
          <w:rFonts w:hint="eastAsia" w:ascii="宋体" w:hAnsi="宋体" w:eastAsia="宋体"/>
          <w:snapToGrid w:val="0"/>
        </w:rPr>
        <w:t>中标结果公示</w:t>
      </w:r>
    </w:p>
    <w:p>
      <w:pPr>
        <w:spacing w:line="400" w:lineRule="exact"/>
        <w:ind w:firstLine="484" w:firstLineChars="202"/>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招标人在确定中标人之日起3日内，按照投标人须知前附表规定的公示媒介和期限依法公示中标结果。</w:t>
      </w:r>
    </w:p>
    <w:p>
      <w:pPr>
        <w:pStyle w:val="5"/>
        <w:spacing w:line="240" w:lineRule="auto"/>
        <w:ind w:firstLine="137"/>
        <w:rPr>
          <w:rFonts w:ascii="宋体" w:hAnsi="宋体" w:eastAsia="宋体"/>
          <w:color w:val="000000"/>
        </w:rPr>
      </w:pPr>
      <w:r>
        <w:rPr>
          <w:rFonts w:ascii="宋体" w:hAnsi="宋体" w:eastAsia="宋体"/>
          <w:color w:val="000000"/>
        </w:rPr>
        <w:t>7.7</w:t>
      </w:r>
      <w:r>
        <w:rPr>
          <w:rFonts w:hint="eastAsia" w:ascii="宋体" w:hAnsi="宋体" w:eastAsia="宋体"/>
          <w:color w:val="000000"/>
        </w:rPr>
        <w:t xml:space="preserve"> 履约保证金</w:t>
      </w:r>
    </w:p>
    <w:p>
      <w:pPr>
        <w:spacing w:line="400" w:lineRule="exact"/>
        <w:ind w:firstLine="480" w:firstLineChars="200"/>
        <w:rPr>
          <w:rFonts w:ascii="宋体" w:hAnsi="宋体"/>
          <w:color w:val="000000"/>
        </w:rPr>
      </w:pPr>
      <w:r>
        <w:rPr>
          <w:rFonts w:ascii="宋体" w:hAnsi="宋体"/>
          <w:color w:val="000000"/>
        </w:rPr>
        <w:t xml:space="preserve">7.7.1 </w:t>
      </w:r>
      <w:r>
        <w:rPr>
          <w:rFonts w:hint="eastAsia" w:ascii="宋体" w:hAnsi="宋体"/>
          <w:color w:val="000000"/>
        </w:rPr>
        <w:t>在签订合同前</w:t>
      </w:r>
      <w:r>
        <w:rPr>
          <w:rFonts w:hint="eastAsia" w:cs="楷体"/>
          <w:bCs/>
          <w:snapToGrid w:val="0"/>
          <w:kern w:val="0"/>
          <w:szCs w:val="21"/>
        </w:rPr>
        <w:t>，</w:t>
      </w:r>
      <w:r>
        <w:rPr>
          <w:rFonts w:hint="eastAsia" w:ascii="宋体" w:hAnsi="宋体"/>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w:t>
      </w:r>
      <w:r>
        <w:rPr>
          <w:rFonts w:hint="eastAsia" w:ascii="宋体" w:hAnsi="宋体" w:eastAsia="宋体"/>
          <w:color w:val="000000"/>
          <w:lang w:eastAsia="zh-CN"/>
        </w:rPr>
        <w:t>一万元</w:t>
      </w:r>
      <w:r>
        <w:rPr>
          <w:rFonts w:hint="eastAsia" w:ascii="宋体" w:hAnsi="宋体"/>
          <w:color w:val="000000"/>
        </w:rPr>
        <w:t>。联合体中标的，其履约保证金以联合体各方或者联合体中牵头人的名义提交。</w:t>
      </w:r>
    </w:p>
    <w:p>
      <w:pPr>
        <w:spacing w:line="400" w:lineRule="exact"/>
        <w:ind w:firstLine="480" w:firstLineChars="200"/>
        <w:rPr>
          <w:rFonts w:ascii="宋体" w:hAnsi="宋体"/>
          <w:color w:val="000000"/>
        </w:rPr>
      </w:pPr>
      <w:r>
        <w:rPr>
          <w:rFonts w:ascii="宋体" w:hAnsi="宋体"/>
          <w:color w:val="000000"/>
        </w:rPr>
        <w:t xml:space="preserve">7.7.2 </w:t>
      </w:r>
      <w:r>
        <w:rPr>
          <w:rFonts w:hint="eastAsia" w:ascii="宋体" w:hAnsi="宋体"/>
          <w:color w:val="000000"/>
        </w:rPr>
        <w:t>中标人不能按本章第7.7.1项要求提交履约保证金的，视为放弃中标，其投标保证金不予退还，给招标人造成的损失超过投标保证金数额的，中标人还应当对超过部分予以赔偿。</w:t>
      </w:r>
    </w:p>
    <w:p>
      <w:pPr>
        <w:pStyle w:val="5"/>
        <w:spacing w:line="240" w:lineRule="auto"/>
        <w:ind w:firstLine="137"/>
        <w:rPr>
          <w:rFonts w:ascii="宋体" w:hAnsi="宋体" w:eastAsia="宋体"/>
          <w:color w:val="000000"/>
        </w:rPr>
      </w:pPr>
      <w:r>
        <w:rPr>
          <w:rFonts w:ascii="宋体" w:hAnsi="宋体" w:eastAsia="宋体"/>
          <w:color w:val="000000"/>
        </w:rPr>
        <w:t>7.8</w:t>
      </w:r>
      <w:r>
        <w:rPr>
          <w:rFonts w:hint="eastAsia" w:ascii="宋体" w:hAnsi="宋体" w:eastAsia="宋体"/>
          <w:color w:val="000000"/>
        </w:rPr>
        <w:t xml:space="preserve"> 签订合同</w:t>
      </w:r>
    </w:p>
    <w:p>
      <w:pPr>
        <w:spacing w:line="400" w:lineRule="exact"/>
        <w:ind w:firstLine="480" w:firstLineChars="200"/>
        <w:rPr>
          <w:rFonts w:ascii="宋体" w:hAnsi="宋体"/>
          <w:color w:val="000000"/>
        </w:rPr>
      </w:pPr>
      <w:r>
        <w:rPr>
          <w:rFonts w:ascii="宋体" w:hAnsi="宋体"/>
          <w:color w:val="000000"/>
        </w:rPr>
        <w:t xml:space="preserve">7.8.1 </w:t>
      </w:r>
      <w:r>
        <w:rPr>
          <w:rFonts w:hint="eastAsia" w:ascii="宋体" w:hAnsi="宋体"/>
          <w:color w:val="000000"/>
        </w:rPr>
        <w:t>招标人和中标人应当在中标通知书发出之日起30日内，根据招标文件和中标人的投标文件订立书面合同。中标人</w:t>
      </w:r>
      <w:r>
        <w:rPr>
          <w:rFonts w:hint="eastAsia" w:ascii="宋体" w:hAnsi="宋体"/>
        </w:rPr>
        <w:t>无正当理由拒签合同，在签订合同时向招标人提出附加条件，或者不按照招标文件要求提交履约保证金的</w:t>
      </w:r>
      <w:r>
        <w:rPr>
          <w:rFonts w:hint="eastAsia" w:ascii="宋体" w:hAnsi="宋体"/>
          <w:color w:val="000000"/>
        </w:rPr>
        <w:t>，招标人取消其中标资格，其投标保证金不予退还；给招标人造成的损失超过投标保证金数额的，中标人还应当对超过部分予以赔偿。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000000"/>
        </w:rPr>
      </w:pPr>
      <w:r>
        <w:rPr>
          <w:rFonts w:ascii="宋体" w:hAnsi="宋体"/>
          <w:color w:val="000000"/>
        </w:rPr>
        <w:t xml:space="preserve">7.8.2 </w:t>
      </w:r>
      <w:r>
        <w:rPr>
          <w:rFonts w:hint="eastAsia" w:ascii="宋体" w:hAnsi="宋体"/>
          <w:color w:val="000000"/>
        </w:rPr>
        <w:t>发出中标通知书后，招标人无正当理由拒签合同，或者</w:t>
      </w:r>
      <w:r>
        <w:rPr>
          <w:rFonts w:hint="eastAsia" w:ascii="宋体" w:hAnsi="宋体"/>
        </w:rPr>
        <w:t>在签订合同时向中标人</w:t>
      </w:r>
      <w:r>
        <w:rPr>
          <w:rFonts w:hint="eastAsia" w:ascii="宋体" w:hAnsi="宋体"/>
          <w:color w:val="000000"/>
        </w:rPr>
        <w:t>提出附加条件的，招标人向中标人退还投标保证金；给中标人造成损失的，还应当赔偿损失。</w:t>
      </w:r>
    </w:p>
    <w:p>
      <w:pPr>
        <w:spacing w:line="400" w:lineRule="exact"/>
        <w:ind w:firstLine="480" w:firstLineChars="200"/>
        <w:rPr>
          <w:rFonts w:ascii="宋体" w:hAnsi="宋体"/>
          <w:color w:val="000000"/>
          <w:szCs w:val="21"/>
        </w:rPr>
      </w:pPr>
      <w:r>
        <w:rPr>
          <w:rFonts w:ascii="宋体" w:hAnsi="宋体"/>
          <w:color w:val="000000"/>
        </w:rPr>
        <w:t>7.8.3</w:t>
      </w:r>
      <w:r>
        <w:rPr>
          <w:rFonts w:hint="eastAsia" w:ascii="宋体" w:hAnsi="宋体"/>
          <w:color w:val="000000"/>
        </w:rPr>
        <w:t xml:space="preserve"> </w:t>
      </w:r>
      <w:r>
        <w:rPr>
          <w:rFonts w:hint="eastAsia" w:ascii="宋体" w:hAnsi="宋体"/>
          <w:color w:val="000000"/>
          <w:szCs w:val="21"/>
        </w:rPr>
        <w:t>联合体中标的，联合体各方应当共同与招标人签订合同，就中标项目向招标人承担连带责任。</w:t>
      </w:r>
    </w:p>
    <w:p>
      <w:pPr>
        <w:pStyle w:val="4"/>
        <w:rPr>
          <w:rFonts w:ascii="宋体" w:hAnsi="宋体" w:eastAsia="宋体"/>
          <w:b w:val="0"/>
        </w:rPr>
      </w:pPr>
      <w:bookmarkStart w:id="169" w:name="_Toc179632589"/>
      <w:bookmarkStart w:id="170" w:name="_Toc72221881"/>
      <w:bookmarkStart w:id="171" w:name="_Toc144974539"/>
      <w:bookmarkStart w:id="172" w:name="_Toc152045571"/>
      <w:bookmarkStart w:id="173" w:name="_Toc152042347"/>
      <w:bookmarkStart w:id="174" w:name="_Toc12462202"/>
      <w:bookmarkStart w:id="175" w:name="_Toc361508627"/>
      <w:bookmarkStart w:id="176" w:name="_Toc24067"/>
      <w:bookmarkStart w:id="177" w:name="_Toc384308252"/>
      <w:bookmarkStart w:id="178" w:name="_Toc300834991"/>
      <w:bookmarkStart w:id="179" w:name="_Toc247513992"/>
      <w:bookmarkStart w:id="180" w:name="_Toc247527593"/>
      <w:bookmarkStart w:id="181" w:name="_Toc152045568"/>
      <w:bookmarkStart w:id="182" w:name="_Toc152042344"/>
      <w:bookmarkStart w:id="183" w:name="_Toc144974536"/>
      <w:r>
        <w:rPr>
          <w:rFonts w:ascii="宋体" w:hAnsi="宋体" w:eastAsia="宋体"/>
          <w:color w:val="000000"/>
        </w:rPr>
        <w:t xml:space="preserve">8. </w:t>
      </w:r>
      <w:r>
        <w:rPr>
          <w:rFonts w:hint="eastAsia" w:ascii="宋体" w:hAnsi="宋体" w:eastAsia="宋体"/>
          <w:color w:val="000000"/>
        </w:rPr>
        <w:t>重新招标和不再招标</w:t>
      </w:r>
      <w:bookmarkEnd w:id="169"/>
      <w:bookmarkEnd w:id="170"/>
      <w:bookmarkEnd w:id="171"/>
      <w:bookmarkEnd w:id="172"/>
      <w:bookmarkEnd w:id="173"/>
      <w:bookmarkEnd w:id="174"/>
    </w:p>
    <w:p>
      <w:pPr>
        <w:pStyle w:val="5"/>
        <w:ind w:firstLine="137"/>
        <w:rPr>
          <w:rFonts w:ascii="宋体" w:hAnsi="宋体" w:eastAsia="宋体"/>
        </w:rPr>
      </w:pPr>
      <w:bookmarkStart w:id="184" w:name="_Toc144974540"/>
      <w:bookmarkStart w:id="185" w:name="_Toc152042348"/>
      <w:bookmarkStart w:id="186" w:name="_Toc152045572"/>
      <w:bookmarkStart w:id="187" w:name="_Toc179632590"/>
      <w:r>
        <w:rPr>
          <w:rFonts w:ascii="宋体" w:hAnsi="宋体" w:eastAsia="宋体"/>
        </w:rPr>
        <w:t xml:space="preserve">8.1 </w:t>
      </w:r>
      <w:r>
        <w:rPr>
          <w:rFonts w:hint="eastAsia" w:ascii="宋体" w:hAnsi="宋体" w:eastAsia="宋体"/>
        </w:rPr>
        <w:t>重新招标</w:t>
      </w:r>
      <w:bookmarkEnd w:id="184"/>
      <w:bookmarkEnd w:id="185"/>
      <w:bookmarkEnd w:id="186"/>
      <w:bookmarkEnd w:id="187"/>
    </w:p>
    <w:p>
      <w:pPr>
        <w:spacing w:line="400" w:lineRule="exact"/>
        <w:ind w:firstLine="410" w:firstLineChars="171"/>
        <w:rPr>
          <w:rFonts w:ascii="宋体" w:hAnsi="宋体"/>
        </w:rPr>
      </w:pPr>
      <w:r>
        <w:rPr>
          <w:rFonts w:hint="eastAsia" w:ascii="宋体" w:hAnsi="宋体"/>
        </w:rPr>
        <w:t>依法必须招标的项目有下列情形之一的，招标人将重新招标：</w:t>
      </w:r>
    </w:p>
    <w:p>
      <w:pPr>
        <w:spacing w:line="400" w:lineRule="exact"/>
        <w:ind w:firstLine="410" w:firstLineChars="171"/>
        <w:rPr>
          <w:rFonts w:ascii="宋体" w:hAnsi="宋体"/>
        </w:rPr>
      </w:pPr>
      <w:r>
        <w:rPr>
          <w:rFonts w:hint="eastAsia" w:ascii="宋体" w:hAnsi="宋体"/>
        </w:rPr>
        <w:t>（1）投标截止时间止，投标人少于3个的；</w:t>
      </w:r>
    </w:p>
    <w:p>
      <w:pPr>
        <w:spacing w:line="400" w:lineRule="exact"/>
        <w:ind w:firstLine="410" w:firstLineChars="171"/>
        <w:rPr>
          <w:rFonts w:ascii="宋体" w:hAnsi="宋体"/>
        </w:rPr>
      </w:pPr>
      <w:r>
        <w:rPr>
          <w:rFonts w:hint="eastAsia" w:ascii="宋体" w:hAnsi="宋体"/>
        </w:rPr>
        <w:t>（2）经评标委员会评审后否决所有投标的；</w:t>
      </w:r>
    </w:p>
    <w:p>
      <w:pPr>
        <w:spacing w:line="400" w:lineRule="exact"/>
        <w:ind w:firstLine="410" w:firstLineChars="171"/>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（3）中标候选人均未与招标人签订合同的；</w:t>
      </w:r>
    </w:p>
    <w:p>
      <w:pPr>
        <w:spacing w:line="400" w:lineRule="exact"/>
        <w:ind w:firstLine="410" w:firstLineChars="171"/>
        <w:rPr>
          <w:rFonts w:ascii="Times New Roman" w:hAnsi="Times New Roman" w:cs="楷体"/>
          <w:bCs/>
          <w:snapToGrid w:val="0"/>
          <w:color w:val="000000"/>
          <w:kern w:val="0"/>
          <w:szCs w:val="21"/>
        </w:rPr>
      </w:pPr>
      <w:r>
        <w:rPr>
          <w:rFonts w:hint="eastAsia" w:ascii="Times New Roman" w:hAnsi="Times New Roman" w:cs="楷体"/>
          <w:bCs/>
          <w:snapToGrid w:val="0"/>
          <w:color w:val="000000"/>
          <w:kern w:val="0"/>
          <w:szCs w:val="21"/>
        </w:rPr>
        <w:t>（4）法律、法规规定的其他情形。</w:t>
      </w:r>
    </w:p>
    <w:p>
      <w:pPr>
        <w:pStyle w:val="5"/>
        <w:ind w:firstLine="137"/>
        <w:rPr>
          <w:rFonts w:ascii="宋体" w:hAnsi="宋体" w:eastAsia="宋体"/>
        </w:rPr>
      </w:pPr>
      <w:bookmarkStart w:id="188" w:name="_Toc144974541"/>
      <w:bookmarkStart w:id="189" w:name="_Toc152042349"/>
      <w:bookmarkStart w:id="190" w:name="_Toc179632591"/>
      <w:bookmarkStart w:id="191" w:name="_Toc152045573"/>
      <w:r>
        <w:rPr>
          <w:rFonts w:ascii="宋体" w:hAnsi="宋体" w:eastAsia="宋体"/>
        </w:rPr>
        <w:t xml:space="preserve">8.2 </w:t>
      </w:r>
      <w:r>
        <w:rPr>
          <w:rFonts w:hint="eastAsia" w:ascii="宋体" w:hAnsi="宋体" w:eastAsia="宋体"/>
        </w:rPr>
        <w:t>不再招标</w:t>
      </w:r>
      <w:bookmarkEnd w:id="188"/>
      <w:bookmarkEnd w:id="189"/>
      <w:bookmarkEnd w:id="190"/>
      <w:bookmarkEnd w:id="191"/>
    </w:p>
    <w:p>
      <w:pPr>
        <w:spacing w:line="400" w:lineRule="exact"/>
        <w:ind w:firstLine="480" w:firstLineChars="200"/>
        <w:rPr>
          <w:rFonts w:ascii="宋体" w:hAnsi="宋体"/>
          <w:color w:val="000000"/>
        </w:rPr>
      </w:pPr>
      <w:r>
        <w:rPr>
          <w:rFonts w:hint="eastAsia" w:ascii="宋体" w:hAnsi="宋体"/>
        </w:rPr>
        <w:t>重新招标后投标人仍少于3个或者所有投标被否决的，属于必须审批或核准的工程</w:t>
      </w:r>
      <w:r>
        <w:rPr>
          <w:rFonts w:hint="eastAsia" w:ascii="宋体" w:hAnsi="宋体" w:eastAsia="宋体"/>
          <w:lang w:eastAsia="zh-CN"/>
        </w:rPr>
        <w:t>服务</w:t>
      </w:r>
      <w:r>
        <w:rPr>
          <w:rFonts w:hint="eastAsia" w:ascii="宋体" w:hAnsi="宋体"/>
        </w:rPr>
        <w:t>项目，经原审批或核准部门批准后不再进行招标。</w:t>
      </w:r>
    </w:p>
    <w:p>
      <w:pPr>
        <w:pStyle w:val="4"/>
        <w:rPr>
          <w:rFonts w:ascii="宋体" w:hAnsi="宋体" w:eastAsia="宋体"/>
          <w:color w:val="000000"/>
        </w:rPr>
      </w:pPr>
      <w:bookmarkStart w:id="192" w:name="_Toc72221882"/>
      <w:r>
        <w:rPr>
          <w:rFonts w:ascii="宋体" w:hAnsi="宋体" w:eastAsia="宋体"/>
          <w:color w:val="000000"/>
        </w:rPr>
        <w:t>9.</w:t>
      </w:r>
      <w:bookmarkEnd w:id="175"/>
      <w:bookmarkEnd w:id="176"/>
      <w:bookmarkEnd w:id="177"/>
      <w:r>
        <w:rPr>
          <w:rFonts w:hint="eastAsia" w:ascii="宋体" w:hAnsi="宋体" w:eastAsia="宋体"/>
          <w:color w:val="000000"/>
        </w:rPr>
        <w:t xml:space="preserve"> 纪律和监督</w:t>
      </w:r>
      <w:bookmarkEnd w:id="192"/>
    </w:p>
    <w:p>
      <w:pPr>
        <w:pStyle w:val="5"/>
        <w:spacing w:line="240" w:lineRule="auto"/>
        <w:ind w:firstLine="137"/>
        <w:rPr>
          <w:rFonts w:ascii="宋体" w:hAnsi="宋体" w:eastAsia="宋体"/>
          <w:color w:val="000000"/>
        </w:rPr>
      </w:pPr>
      <w:r>
        <w:rPr>
          <w:rFonts w:ascii="宋体" w:hAnsi="宋体" w:eastAsia="宋体"/>
          <w:color w:val="000000"/>
        </w:rPr>
        <w:t xml:space="preserve">9.1 </w:t>
      </w:r>
      <w:r>
        <w:rPr>
          <w:rFonts w:hint="eastAsia" w:ascii="宋体" w:hAnsi="宋体" w:eastAsia="宋体"/>
          <w:color w:val="000000"/>
        </w:rPr>
        <w:t>对招标人的纪律要求</w:t>
      </w:r>
    </w:p>
    <w:p>
      <w:pPr>
        <w:spacing w:line="400" w:lineRule="exact"/>
        <w:ind w:firstLine="480" w:firstLineChars="200"/>
        <w:rPr>
          <w:rFonts w:ascii="宋体" w:hAnsi="宋体"/>
          <w:color w:val="000000"/>
        </w:rPr>
      </w:pPr>
      <w:r>
        <w:rPr>
          <w:rFonts w:hint="eastAsia" w:ascii="宋体" w:hAnsi="宋体"/>
          <w:color w:val="000000"/>
        </w:rPr>
        <w:t>招标人不得泄露招标投标活动中应当保密的情况和资料，不得与投标人串通损害国家利益、社会公共利益或者他人合法权益。</w:t>
      </w:r>
    </w:p>
    <w:p>
      <w:pPr>
        <w:pStyle w:val="5"/>
        <w:spacing w:line="240" w:lineRule="auto"/>
        <w:ind w:firstLine="137"/>
        <w:rPr>
          <w:rFonts w:ascii="宋体" w:hAnsi="宋体" w:eastAsia="宋体"/>
          <w:color w:val="000000"/>
        </w:rPr>
      </w:pPr>
      <w:r>
        <w:rPr>
          <w:rFonts w:ascii="宋体" w:hAnsi="宋体" w:eastAsia="宋体"/>
          <w:color w:val="000000"/>
        </w:rPr>
        <w:t xml:space="preserve">9.2 </w:t>
      </w:r>
      <w:r>
        <w:rPr>
          <w:rFonts w:hint="eastAsia" w:ascii="宋体" w:hAnsi="宋体" w:eastAsia="宋体"/>
          <w:color w:val="000000"/>
        </w:rPr>
        <w:t>对投标人的纪律要求</w:t>
      </w:r>
    </w:p>
    <w:p>
      <w:pPr>
        <w:spacing w:line="400" w:lineRule="exact"/>
        <w:ind w:firstLine="480" w:firstLineChars="200"/>
        <w:rPr>
          <w:rFonts w:ascii="宋体" w:hAnsi="宋体"/>
          <w:color w:val="000000"/>
        </w:rPr>
      </w:pPr>
      <w:r>
        <w:rPr>
          <w:rFonts w:hint="eastAsia" w:ascii="宋体" w:hAnsi="宋体"/>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line="240" w:lineRule="auto"/>
        <w:ind w:firstLine="137"/>
        <w:rPr>
          <w:rFonts w:ascii="宋体" w:hAnsi="宋体" w:eastAsia="宋体"/>
          <w:color w:val="000000"/>
        </w:rPr>
      </w:pPr>
      <w:r>
        <w:rPr>
          <w:rFonts w:ascii="宋体" w:hAnsi="宋体" w:eastAsia="宋体"/>
          <w:color w:val="000000"/>
        </w:rPr>
        <w:t xml:space="preserve">9.3 </w:t>
      </w:r>
      <w:r>
        <w:rPr>
          <w:rFonts w:hint="eastAsia" w:ascii="宋体" w:hAnsi="宋体" w:eastAsia="宋体"/>
          <w:color w:val="000000"/>
        </w:rPr>
        <w:t>对评标委员会成员的纪律要求</w:t>
      </w:r>
    </w:p>
    <w:p>
      <w:pPr>
        <w:spacing w:line="400" w:lineRule="exact"/>
        <w:ind w:firstLine="480" w:firstLineChars="200"/>
        <w:rPr>
          <w:rFonts w:ascii="宋体" w:hAnsi="宋体"/>
          <w:color w:val="000000"/>
        </w:rPr>
      </w:pPr>
      <w:r>
        <w:rPr>
          <w:rFonts w:hint="eastAsia" w:ascii="宋体" w:hAnsi="宋体"/>
          <w:color w:val="000000"/>
        </w:rPr>
        <w:t>评标委员会成员不得收受他人的财物或者其他好处，不得向他人透露对投标文件的评审</w:t>
      </w:r>
      <w:bookmarkStart w:id="193" w:name="_Toc384308253"/>
      <w:bookmarkStart w:id="194" w:name="_Toc352691515"/>
      <w:bookmarkStart w:id="195" w:name="_Toc361508628"/>
      <w:bookmarkStart w:id="196" w:name="_Toc13644"/>
      <w:bookmarkStart w:id="197" w:name="_Toc369531559"/>
      <w:r>
        <w:rPr>
          <w:rFonts w:hint="eastAsia" w:ascii="宋体" w:hAnsi="宋体"/>
          <w:color w:val="000000"/>
        </w:rPr>
        <w:t>和比较、中标候选人</w:t>
      </w:r>
      <w:bookmarkEnd w:id="178"/>
      <w:bookmarkEnd w:id="179"/>
      <w:bookmarkEnd w:id="180"/>
      <w:bookmarkEnd w:id="181"/>
      <w:bookmarkEnd w:id="182"/>
      <w:bookmarkEnd w:id="183"/>
      <w:bookmarkEnd w:id="193"/>
      <w:bookmarkEnd w:id="194"/>
      <w:bookmarkEnd w:id="195"/>
      <w:bookmarkEnd w:id="196"/>
      <w:bookmarkEnd w:id="197"/>
      <w:r>
        <w:rPr>
          <w:rFonts w:hint="eastAsia" w:ascii="宋体" w:hAnsi="宋体"/>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line="240" w:lineRule="auto"/>
        <w:ind w:firstLine="137"/>
        <w:rPr>
          <w:rFonts w:ascii="宋体" w:hAnsi="宋体" w:eastAsia="宋体"/>
          <w:color w:val="000000"/>
        </w:rPr>
      </w:pPr>
      <w:r>
        <w:rPr>
          <w:rFonts w:ascii="宋体" w:hAnsi="宋体" w:eastAsia="宋体"/>
          <w:color w:val="000000"/>
        </w:rPr>
        <w:t xml:space="preserve">9.4 </w:t>
      </w:r>
      <w:r>
        <w:rPr>
          <w:rFonts w:hint="eastAsia" w:ascii="宋体" w:hAnsi="宋体" w:eastAsia="宋体"/>
          <w:color w:val="000000"/>
        </w:rPr>
        <w:t>对与评标活动有关的工作人员的纪律要求</w:t>
      </w:r>
    </w:p>
    <w:p>
      <w:pPr>
        <w:spacing w:line="400" w:lineRule="exact"/>
        <w:ind w:firstLine="480" w:firstLineChars="200"/>
        <w:rPr>
          <w:rFonts w:ascii="宋体" w:hAnsi="宋体"/>
          <w:color w:val="000000"/>
        </w:rPr>
      </w:pPr>
      <w:r>
        <w:rPr>
          <w:rFonts w:hint="eastAsia" w:ascii="宋体" w:hAnsi="宋体"/>
          <w:color w:val="000000"/>
        </w:rPr>
        <w:t>与评标活动有关的工作人员不得收受他人的财物或者其他好处，不得向他人透露对投标文件</w:t>
      </w:r>
      <w:bookmarkStart w:id="198" w:name="_Toc247513993"/>
      <w:bookmarkStart w:id="199" w:name="_Toc152045569"/>
      <w:bookmarkStart w:id="200" w:name="_Toc144974537"/>
      <w:bookmarkStart w:id="201" w:name="_Toc361508629"/>
      <w:bookmarkStart w:id="202" w:name="_Toc152042345"/>
      <w:bookmarkStart w:id="203" w:name="_Toc369531560"/>
      <w:bookmarkStart w:id="204" w:name="_Toc300834992"/>
      <w:bookmarkStart w:id="205" w:name="_Toc247527594"/>
      <w:bookmarkStart w:id="206" w:name="_Toc19429"/>
      <w:bookmarkStart w:id="207" w:name="_Toc352691516"/>
      <w:bookmarkStart w:id="208" w:name="_Toc384308254"/>
      <w:r>
        <w:rPr>
          <w:rFonts w:hint="eastAsia" w:ascii="宋体" w:hAnsi="宋体"/>
          <w:color w:val="000000"/>
        </w:rPr>
        <w:t>的评审和比较、中标</w:t>
      </w:r>
      <w:bookmarkEnd w:id="198"/>
      <w:bookmarkEnd w:id="199"/>
      <w:bookmarkEnd w:id="200"/>
      <w:bookmarkEnd w:id="201"/>
      <w:bookmarkEnd w:id="202"/>
      <w:bookmarkEnd w:id="203"/>
      <w:bookmarkEnd w:id="204"/>
      <w:bookmarkEnd w:id="205"/>
      <w:bookmarkEnd w:id="206"/>
      <w:bookmarkEnd w:id="207"/>
      <w:bookmarkEnd w:id="208"/>
      <w:r>
        <w:rPr>
          <w:rFonts w:hint="eastAsia" w:ascii="宋体" w:hAnsi="宋体"/>
          <w:color w:val="000000"/>
        </w:rPr>
        <w:t>候选人的推荐情况以及评标有关的其他情况。在评标活动中，与评标活动有关的工作人员不得擅离职守，影响评标程序正常进行。</w:t>
      </w:r>
    </w:p>
    <w:p>
      <w:pPr>
        <w:pStyle w:val="5"/>
        <w:spacing w:line="240" w:lineRule="auto"/>
        <w:ind w:firstLine="137"/>
        <w:rPr>
          <w:rFonts w:ascii="宋体" w:hAnsi="宋体" w:eastAsia="宋体"/>
          <w:color w:val="000000"/>
        </w:rPr>
      </w:pPr>
      <w:r>
        <w:rPr>
          <w:rFonts w:ascii="宋体" w:hAnsi="宋体" w:eastAsia="宋体"/>
          <w:color w:val="000000"/>
        </w:rPr>
        <w:t xml:space="preserve">9.5 </w:t>
      </w:r>
      <w:r>
        <w:rPr>
          <w:rFonts w:hint="eastAsia" w:ascii="宋体" w:hAnsi="宋体" w:eastAsia="宋体"/>
          <w:color w:val="000000"/>
        </w:rPr>
        <w:t>投诉</w:t>
      </w:r>
    </w:p>
    <w:p>
      <w:pPr>
        <w:spacing w:line="400" w:lineRule="exact"/>
        <w:ind w:firstLine="480" w:firstLineChars="200"/>
        <w:rPr>
          <w:rFonts w:ascii="宋体" w:hAnsi="宋体"/>
          <w:color w:val="000000"/>
        </w:rPr>
      </w:pPr>
      <w:r>
        <w:rPr>
          <w:rFonts w:ascii="宋体" w:hAnsi="宋体"/>
          <w:color w:val="000000"/>
        </w:rPr>
        <w:t xml:space="preserve">9.5.1 </w:t>
      </w:r>
      <w:r>
        <w:rPr>
          <w:rFonts w:hint="eastAsia" w:ascii="宋体" w:hAnsi="宋体"/>
          <w:color w:val="000000"/>
        </w:rPr>
        <w:t>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80" w:firstLineChars="200"/>
        <w:rPr>
          <w:rFonts w:ascii="宋体" w:hAnsi="宋体"/>
          <w:color w:val="000000"/>
        </w:rPr>
      </w:pPr>
      <w:r>
        <w:rPr>
          <w:rFonts w:ascii="宋体" w:hAnsi="宋体"/>
          <w:color w:val="000000"/>
        </w:rPr>
        <w:t xml:space="preserve">9.5.2 </w:t>
      </w:r>
      <w:r>
        <w:rPr>
          <w:rFonts w:hint="eastAsia" w:ascii="宋体" w:hAnsi="宋体"/>
          <w:color w:val="000000"/>
        </w:rPr>
        <w:t>投标人或者其他利害关系人对招标文件、开标和评标结果提出投诉的，应当按照投标人须知第2.4款、第5.3款和第7.2款的规定先向招标人提出异议。异议答复期间</w:t>
      </w:r>
      <w:bookmarkStart w:id="209" w:name="_Toc384308255"/>
      <w:bookmarkStart w:id="210" w:name="_Toc300834993"/>
      <w:bookmarkStart w:id="211" w:name="_Toc247513994"/>
      <w:bookmarkStart w:id="212" w:name="_Toc152045570"/>
      <w:bookmarkStart w:id="213" w:name="_Toc152042346"/>
      <w:bookmarkStart w:id="214" w:name="_Toc247527595"/>
      <w:bookmarkStart w:id="215" w:name="_Toc352691517"/>
      <w:bookmarkStart w:id="216" w:name="_Toc12776"/>
      <w:bookmarkStart w:id="217" w:name="_Toc369531561"/>
      <w:bookmarkStart w:id="218" w:name="_Toc361508630"/>
      <w:bookmarkStart w:id="219" w:name="_Toc144974538"/>
      <w:r>
        <w:rPr>
          <w:rFonts w:hint="eastAsia" w:ascii="宋体" w:hAnsi="宋体"/>
          <w:color w:val="000000"/>
        </w:rPr>
        <w:t>不计算在第9.5.</w:t>
      </w:r>
      <w:bookmarkEnd w:id="209"/>
      <w:bookmarkEnd w:id="210"/>
      <w:bookmarkEnd w:id="211"/>
      <w:bookmarkEnd w:id="212"/>
      <w:bookmarkEnd w:id="213"/>
      <w:bookmarkEnd w:id="214"/>
      <w:bookmarkEnd w:id="215"/>
      <w:bookmarkEnd w:id="216"/>
      <w:bookmarkEnd w:id="217"/>
      <w:bookmarkEnd w:id="218"/>
      <w:bookmarkEnd w:id="219"/>
      <w:r>
        <w:rPr>
          <w:rFonts w:hint="eastAsia" w:ascii="宋体" w:hAnsi="宋体"/>
          <w:color w:val="000000"/>
        </w:rPr>
        <w:t>1项规定的期限内。</w:t>
      </w:r>
    </w:p>
    <w:p>
      <w:pPr>
        <w:pStyle w:val="4"/>
        <w:spacing w:line="240" w:lineRule="auto"/>
        <w:rPr>
          <w:rFonts w:ascii="宋体" w:hAnsi="宋体" w:eastAsia="宋体"/>
          <w:color w:val="000000"/>
        </w:rPr>
      </w:pPr>
      <w:bookmarkStart w:id="220" w:name="_Toc72221883"/>
      <w:r>
        <w:rPr>
          <w:rFonts w:ascii="宋体" w:hAnsi="宋体" w:eastAsia="宋体"/>
          <w:color w:val="000000"/>
        </w:rPr>
        <w:t xml:space="preserve">10. </w:t>
      </w:r>
      <w:r>
        <w:rPr>
          <w:rFonts w:hint="eastAsia" w:ascii="宋体" w:hAnsi="宋体" w:eastAsia="宋体"/>
          <w:color w:val="000000"/>
        </w:rPr>
        <w:t>需要补充的其他内容</w:t>
      </w:r>
      <w:bookmarkEnd w:id="220"/>
    </w:p>
    <w:p>
      <w:pPr>
        <w:spacing w:line="400" w:lineRule="exact"/>
        <w:ind w:firstLine="480" w:firstLineChars="200"/>
        <w:rPr>
          <w:rFonts w:ascii="宋体" w:hAnsi="宋体"/>
          <w:color w:val="000000"/>
        </w:rPr>
      </w:pPr>
      <w:r>
        <w:rPr>
          <w:rFonts w:hint="eastAsia" w:ascii="宋体" w:hAnsi="宋体"/>
          <w:color w:val="000000"/>
        </w:rPr>
        <w:t>需要补充的其他内容：见投标人须知前附表。</w:t>
      </w:r>
    </w:p>
    <w:p>
      <w:pPr>
        <w:spacing w:line="360" w:lineRule="auto"/>
        <w:ind w:firstLine="480" w:firstLineChars="200"/>
        <w:rPr>
          <w:rFonts w:hint="eastAsia" w:ascii="宋体" w:hAnsi="宋体"/>
          <w:b/>
          <w:szCs w:val="21"/>
        </w:rPr>
      </w:pPr>
      <w:r>
        <w:rPr>
          <w:rFonts w:ascii="宋体" w:hAnsi="宋体"/>
          <w:color w:val="000000"/>
        </w:rPr>
        <w:br w:type="page"/>
      </w:r>
    </w:p>
    <w:p>
      <w:pPr>
        <w:pStyle w:val="3"/>
        <w:ind w:left="0" w:leftChars="0" w:firstLine="0" w:firstLineChars="0"/>
        <w:jc w:val="both"/>
      </w:pPr>
      <w:r>
        <w:t>第</w:t>
      </w:r>
      <w:r>
        <w:rPr>
          <w:rFonts w:hint="eastAsia" w:eastAsia="宋体"/>
          <w:lang w:eastAsia="zh-CN"/>
        </w:rPr>
        <w:t>三</w:t>
      </w:r>
      <w:r>
        <w:t xml:space="preserve">章 </w:t>
      </w:r>
      <w:r>
        <w:rPr>
          <w:rFonts w:hint="eastAsia" w:cs="微软雅黑" w:asciiTheme="minorEastAsia" w:hAnsiTheme="minorEastAsia" w:eastAsiaTheme="minorEastAsia"/>
        </w:rPr>
        <w:t>招标</w:t>
      </w:r>
      <w:r>
        <w:rPr>
          <w:rFonts w:asciiTheme="minorEastAsia" w:hAnsiTheme="minorEastAsia" w:eastAsiaTheme="minorEastAsia"/>
        </w:rPr>
        <w:t>与评审办法</w:t>
      </w:r>
      <w:bookmarkEnd w:id="2"/>
      <w:r>
        <w:rPr>
          <w:rFonts w:asciiTheme="minorEastAsia" w:hAnsiTheme="minorEastAsia" w:eastAsiaTheme="minorEastAsia"/>
          <w:sz w:val="24"/>
        </w:rPr>
        <w:t xml:space="preserve"> </w:t>
      </w:r>
    </w:p>
    <w:tbl>
      <w:tblPr>
        <w:tblStyle w:val="20"/>
        <w:tblW w:w="9908" w:type="dxa"/>
        <w:tblInd w:w="166" w:type="dxa"/>
        <w:tblLayout w:type="autofit"/>
        <w:tblCellMar>
          <w:top w:w="0" w:type="dxa"/>
          <w:left w:w="7" w:type="dxa"/>
          <w:bottom w:w="0" w:type="dxa"/>
          <w:right w:w="20" w:type="dxa"/>
        </w:tblCellMar>
      </w:tblPr>
      <w:tblGrid>
        <w:gridCol w:w="9908"/>
      </w:tblGrid>
      <w:tr>
        <w:tblPrEx>
          <w:tblCellMar>
            <w:top w:w="0" w:type="dxa"/>
            <w:left w:w="7" w:type="dxa"/>
            <w:bottom w:w="0" w:type="dxa"/>
            <w:right w:w="20" w:type="dxa"/>
          </w:tblCellMar>
        </w:tblPrEx>
        <w:trPr>
          <w:trHeight w:val="361" w:hRule="atLeast"/>
        </w:trPr>
        <w:tc>
          <w:tcPr>
            <w:tcW w:w="9908" w:type="dxa"/>
            <w:tcBorders>
              <w:top w:val="single" w:color="000000" w:sz="6" w:space="0"/>
              <w:left w:val="single" w:color="000000" w:sz="6" w:space="0"/>
              <w:bottom w:val="single" w:color="000000" w:sz="6" w:space="0"/>
              <w:right w:val="single" w:color="000000" w:sz="6" w:space="0"/>
            </w:tcBorders>
          </w:tcPr>
          <w:p>
            <w:pPr>
              <w:pStyle w:val="3"/>
              <w:jc w:val="center"/>
              <w:rPr>
                <w:rFonts w:hint="eastAsia" w:eastAsia="黑体"/>
                <w:bCs w:val="0"/>
                <w:highlight w:val="none"/>
              </w:rPr>
            </w:pPr>
            <w:bookmarkStart w:id="221" w:name="_Toc70580528"/>
            <w:r>
              <w:rPr>
                <w:rFonts w:hint="eastAsia" w:eastAsia="黑体"/>
                <w:b w:val="0"/>
                <w:highlight w:val="none"/>
              </w:rPr>
              <w:t>评标办法</w:t>
            </w:r>
            <w:r>
              <w:rPr>
                <w:rFonts w:eastAsia="黑体"/>
                <w:b w:val="0"/>
                <w:highlight w:val="none"/>
              </w:rPr>
              <w:br w:type="textWrapping"/>
            </w:r>
            <w:r>
              <w:rPr>
                <w:rFonts w:hint="eastAsia" w:eastAsia="黑体"/>
                <w:b w:val="0"/>
                <w:highlight w:val="none"/>
                <w:lang w:eastAsia="zh-CN"/>
              </w:rPr>
              <w:t>综合评估法（一次平均</w:t>
            </w:r>
            <w:r>
              <w:rPr>
                <w:rFonts w:hint="eastAsia" w:eastAsia="黑体"/>
                <w:b w:val="0"/>
                <w:highlight w:val="none"/>
              </w:rPr>
              <w:t>）</w:t>
            </w:r>
            <w:bookmarkEnd w:id="221"/>
          </w:p>
          <w:p>
            <w:pPr>
              <w:jc w:val="center"/>
              <w:rPr>
                <w:rFonts w:eastAsia="黑体" w:cs="宋体"/>
                <w:sz w:val="28"/>
                <w:szCs w:val="20"/>
                <w:highlight w:val="none"/>
              </w:rPr>
            </w:pPr>
            <w:r>
              <w:rPr>
                <w:rFonts w:hint="eastAsia" w:eastAsia="黑体" w:cs="宋体"/>
                <w:sz w:val="28"/>
                <w:szCs w:val="20"/>
                <w:highlight w:val="none"/>
              </w:rPr>
              <w:t>评标办法前附表</w:t>
            </w:r>
          </w:p>
          <w:p>
            <w:pPr>
              <w:jc w:val="center"/>
              <w:rPr>
                <w:rFonts w:hint="eastAsia" w:eastAsia="黑体" w:cs="宋体"/>
                <w:sz w:val="28"/>
                <w:szCs w:val="20"/>
                <w:highlight w:val="none"/>
              </w:rPr>
            </w:pPr>
          </w:p>
          <w:tbl>
            <w:tblPr>
              <w:tblStyle w:val="15"/>
              <w:tblW w:w="513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0"/>
              <w:gridCol w:w="979"/>
              <w:gridCol w:w="1678"/>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68" w:type="pct"/>
                  <w:gridSpan w:val="2"/>
                  <w:noWrap w:val="0"/>
                  <w:vAlign w:val="center"/>
                </w:tcPr>
                <w:p>
                  <w:pPr>
                    <w:widowControl/>
                    <w:jc w:val="center"/>
                    <w:rPr>
                      <w:kern w:val="0"/>
                      <w:szCs w:val="21"/>
                      <w:highlight w:val="none"/>
                    </w:rPr>
                  </w:pPr>
                  <w:r>
                    <w:rPr>
                      <w:b/>
                      <w:bCs/>
                      <w:kern w:val="0"/>
                      <w:szCs w:val="21"/>
                      <w:highlight w:val="none"/>
                    </w:rPr>
                    <w:t>条款号</w:t>
                  </w:r>
                </w:p>
              </w:tc>
              <w:tc>
                <w:tcPr>
                  <w:tcW w:w="828" w:type="pct"/>
                  <w:noWrap w:val="0"/>
                  <w:vAlign w:val="center"/>
                </w:tcPr>
                <w:p>
                  <w:pPr>
                    <w:snapToGrid w:val="0"/>
                    <w:jc w:val="center"/>
                    <w:rPr>
                      <w:rFonts w:hint="eastAsia"/>
                      <w:b/>
                      <w:kern w:val="0"/>
                      <w:szCs w:val="21"/>
                      <w:highlight w:val="none"/>
                    </w:rPr>
                  </w:pPr>
                  <w:r>
                    <w:rPr>
                      <w:rFonts w:hint="eastAsia"/>
                      <w:b/>
                      <w:kern w:val="0"/>
                      <w:szCs w:val="21"/>
                      <w:highlight w:val="none"/>
                    </w:rPr>
                    <w:t>条款内容</w:t>
                  </w:r>
                </w:p>
              </w:tc>
              <w:tc>
                <w:tcPr>
                  <w:tcW w:w="3304" w:type="pct"/>
                  <w:noWrap w:val="0"/>
                  <w:vAlign w:val="center"/>
                </w:tcPr>
                <w:p>
                  <w:pPr>
                    <w:widowControl/>
                    <w:snapToGrid w:val="0"/>
                    <w:jc w:val="center"/>
                    <w:rPr>
                      <w:rFonts w:hint="eastAsia"/>
                      <w:b/>
                      <w:kern w:val="0"/>
                      <w:szCs w:val="21"/>
                      <w:highlight w:val="none"/>
                    </w:rPr>
                  </w:pPr>
                  <w:r>
                    <w:rPr>
                      <w:rFonts w:hint="eastAsia"/>
                      <w:b/>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restart"/>
                  <w:noWrap w:val="0"/>
                  <w:vAlign w:val="center"/>
                </w:tcPr>
                <w:p>
                  <w:pPr>
                    <w:jc w:val="center"/>
                    <w:rPr>
                      <w:rFonts w:hint="eastAsia"/>
                      <w:bCs/>
                      <w:kern w:val="0"/>
                      <w:szCs w:val="21"/>
                      <w:highlight w:val="none"/>
                    </w:rPr>
                  </w:pPr>
                  <w:r>
                    <w:rPr>
                      <w:rFonts w:hint="eastAsia"/>
                      <w:bCs/>
                      <w:kern w:val="0"/>
                      <w:szCs w:val="21"/>
                      <w:highlight w:val="none"/>
                    </w:rPr>
                    <w:t>1</w:t>
                  </w:r>
                </w:p>
              </w:tc>
              <w:tc>
                <w:tcPr>
                  <w:tcW w:w="483" w:type="pct"/>
                  <w:vMerge w:val="restart"/>
                  <w:noWrap w:val="0"/>
                  <w:vAlign w:val="center"/>
                </w:tcPr>
                <w:p>
                  <w:pPr>
                    <w:rPr>
                      <w:rFonts w:hint="eastAsia"/>
                      <w:bCs/>
                      <w:kern w:val="0"/>
                      <w:szCs w:val="21"/>
                      <w:highlight w:val="none"/>
                    </w:rPr>
                  </w:pPr>
                  <w:r>
                    <w:rPr>
                      <w:rFonts w:hint="eastAsia"/>
                      <w:bCs/>
                      <w:kern w:val="0"/>
                      <w:szCs w:val="21"/>
                      <w:highlight w:val="none"/>
                    </w:rPr>
                    <w:t>评标办法</w:t>
                  </w:r>
                </w:p>
              </w:tc>
              <w:tc>
                <w:tcPr>
                  <w:tcW w:w="828" w:type="pct"/>
                  <w:noWrap w:val="0"/>
                  <w:tcMar>
                    <w:left w:w="75" w:type="dxa"/>
                  </w:tcMar>
                  <w:vAlign w:val="center"/>
                </w:tcPr>
                <w:p>
                  <w:pPr>
                    <w:rPr>
                      <w:rFonts w:hint="eastAsia"/>
                      <w:kern w:val="0"/>
                      <w:szCs w:val="21"/>
                      <w:highlight w:val="none"/>
                    </w:rPr>
                  </w:pPr>
                  <w:r>
                    <w:rPr>
                      <w:rFonts w:hint="eastAsia"/>
                      <w:kern w:val="0"/>
                      <w:szCs w:val="21"/>
                      <w:highlight w:val="none"/>
                    </w:rPr>
                    <w:t>中标候选人排序方法</w:t>
                  </w:r>
                </w:p>
              </w:tc>
              <w:tc>
                <w:tcPr>
                  <w:tcW w:w="3304" w:type="pct"/>
                  <w:noWrap w:val="0"/>
                  <w:tcMar>
                    <w:left w:w="75" w:type="dxa"/>
                  </w:tcMar>
                  <w:vAlign w:val="center"/>
                </w:tcPr>
                <w:p>
                  <w:pPr>
                    <w:spacing w:line="360" w:lineRule="auto"/>
                    <w:rPr>
                      <w:rFonts w:hint="eastAsia" w:eastAsia="宋体" w:cs="宋体"/>
                      <w:sz w:val="28"/>
                      <w:szCs w:val="20"/>
                      <w:highlight w:val="none"/>
                      <w:lang w:val="en-US" w:eastAsia="zh-CN"/>
                    </w:rPr>
                  </w:pPr>
                  <w:bookmarkStart w:id="222" w:name="_Toc59519545"/>
                  <w:r>
                    <w:rPr>
                      <w:rFonts w:hint="eastAsia" w:ascii="宋体" w:cs="宋体"/>
                      <w:color w:val="000000"/>
                      <w:kern w:val="0"/>
                      <w:szCs w:val="21"/>
                      <w:highlight w:val="none"/>
                    </w:rPr>
                    <w:t>评标委员会对满足招标文件实质性要求的投标文件，按照本章第</w:t>
                  </w:r>
                  <w:r>
                    <w:rPr>
                      <w:color w:val="000000"/>
                      <w:kern w:val="0"/>
                      <w:szCs w:val="21"/>
                      <w:highlight w:val="none"/>
                    </w:rPr>
                    <w:t>2.2</w:t>
                  </w:r>
                  <w:r>
                    <w:rPr>
                      <w:rFonts w:hint="eastAsia" w:ascii="宋体" w:cs="宋体"/>
                      <w:color w:val="000000"/>
                      <w:kern w:val="0"/>
                      <w:szCs w:val="21"/>
                      <w:highlight w:val="none"/>
                    </w:rPr>
                    <w:t>款规定的评分标准进行打分，并按得分由高到低顺序推荐中标候选人，但投标报价低于其成本的除外。综合评分相等时，以投标报价低的优先；投标报价也相等的，以技术得分高的优先；如果技术得分也相等，由评标委员会根据投标文件投票按少数服从多数的原则确定中标候选人顺序</w:t>
                  </w:r>
                  <w:bookmarkEnd w:id="222"/>
                  <w:r>
                    <w:rPr>
                      <w:rFonts w:hint="eastAsia" w:ascii="宋体" w:eastAsia="宋体" w:cs="宋体"/>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pPr>
                    <w:widowControl/>
                    <w:jc w:val="center"/>
                    <w:rPr>
                      <w:rFonts w:hint="eastAsia"/>
                      <w:bCs/>
                      <w:kern w:val="0"/>
                      <w:szCs w:val="21"/>
                      <w:highlight w:val="none"/>
                    </w:rPr>
                  </w:pPr>
                </w:p>
              </w:tc>
              <w:tc>
                <w:tcPr>
                  <w:tcW w:w="483" w:type="pct"/>
                  <w:vMerge w:val="continue"/>
                  <w:noWrap w:val="0"/>
                  <w:vAlign w:val="center"/>
                </w:tcPr>
                <w:p>
                  <w:pPr>
                    <w:widowControl/>
                    <w:jc w:val="center"/>
                    <w:rPr>
                      <w:rFonts w:hint="eastAsia"/>
                      <w:bCs/>
                      <w:kern w:val="0"/>
                      <w:szCs w:val="21"/>
                      <w:highlight w:val="none"/>
                    </w:rPr>
                  </w:pPr>
                </w:p>
              </w:tc>
              <w:tc>
                <w:tcPr>
                  <w:tcW w:w="828" w:type="pct"/>
                  <w:noWrap w:val="0"/>
                  <w:tcMar>
                    <w:left w:w="75" w:type="dxa"/>
                  </w:tcMar>
                  <w:vAlign w:val="center"/>
                </w:tcPr>
                <w:p>
                  <w:pPr>
                    <w:widowControl/>
                    <w:adjustRightInd w:val="0"/>
                    <w:snapToGrid w:val="0"/>
                    <w:jc w:val="center"/>
                    <w:rPr>
                      <w:rFonts w:hint="eastAsia"/>
                      <w:kern w:val="0"/>
                      <w:szCs w:val="21"/>
                      <w:highlight w:val="none"/>
                    </w:rPr>
                  </w:pPr>
                  <w:r>
                    <w:rPr>
                      <w:rFonts w:hint="eastAsia"/>
                      <w:kern w:val="0"/>
                      <w:szCs w:val="21"/>
                      <w:highlight w:val="none"/>
                    </w:rPr>
                    <w:t>评标的先后顺序</w:t>
                  </w:r>
                </w:p>
              </w:tc>
              <w:tc>
                <w:tcPr>
                  <w:tcW w:w="3304" w:type="pct"/>
                  <w:noWrap w:val="0"/>
                  <w:tcMar>
                    <w:left w:w="75" w:type="dxa"/>
                  </w:tcMar>
                  <w:vAlign w:val="center"/>
                </w:tcPr>
                <w:p>
                  <w:pPr>
                    <w:widowControl/>
                    <w:jc w:val="center"/>
                    <w:rPr>
                      <w:rFonts w:ascii="楷体" w:hAnsi="楷体" w:eastAsia="楷体"/>
                      <w:bCs/>
                      <w:snapToGrid w:val="0"/>
                      <w:kern w:val="0"/>
                      <w:szCs w:val="21"/>
                      <w:highlight w:val="none"/>
                    </w:rPr>
                  </w:pPr>
                  <w:r>
                    <w:rPr>
                      <w:rFonts w:hint="eastAsia" w:ascii="楷体" w:hAnsi="楷体" w:eastAsia="楷体"/>
                      <w:bCs/>
                      <w:snapToGrid w:val="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vMerge w:val="continue"/>
                  <w:noWrap w:val="0"/>
                  <w:vAlign w:val="center"/>
                </w:tcPr>
                <w:p>
                  <w:pPr>
                    <w:widowControl/>
                    <w:jc w:val="center"/>
                    <w:rPr>
                      <w:rFonts w:hint="eastAsia"/>
                      <w:bCs/>
                      <w:color w:val="FF0000"/>
                      <w:kern w:val="0"/>
                      <w:szCs w:val="21"/>
                      <w:highlight w:val="none"/>
                    </w:rPr>
                  </w:pPr>
                </w:p>
              </w:tc>
              <w:tc>
                <w:tcPr>
                  <w:tcW w:w="483" w:type="pct"/>
                  <w:vMerge w:val="continue"/>
                  <w:noWrap w:val="0"/>
                  <w:vAlign w:val="center"/>
                </w:tcPr>
                <w:p>
                  <w:pPr>
                    <w:widowControl/>
                    <w:jc w:val="center"/>
                    <w:rPr>
                      <w:rFonts w:hint="eastAsia"/>
                      <w:bCs/>
                      <w:kern w:val="0"/>
                      <w:szCs w:val="21"/>
                      <w:highlight w:val="none"/>
                    </w:rPr>
                  </w:pPr>
                </w:p>
              </w:tc>
              <w:tc>
                <w:tcPr>
                  <w:tcW w:w="828"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最多可中标段数量</w:t>
                  </w:r>
                </w:p>
              </w:tc>
              <w:tc>
                <w:tcPr>
                  <w:tcW w:w="3304"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noWrap w:val="0"/>
                  <w:vAlign w:val="center"/>
                </w:tcPr>
                <w:p>
                  <w:pPr>
                    <w:snapToGrid w:val="0"/>
                    <w:jc w:val="center"/>
                    <w:rPr>
                      <w:bCs/>
                      <w:color w:val="auto"/>
                      <w:kern w:val="0"/>
                      <w:szCs w:val="21"/>
                      <w:highlight w:val="none"/>
                    </w:rPr>
                  </w:pPr>
                  <w:r>
                    <w:rPr>
                      <w:rFonts w:hint="eastAsia"/>
                      <w:bCs/>
                      <w:color w:val="auto"/>
                      <w:kern w:val="0"/>
                      <w:szCs w:val="21"/>
                      <w:highlight w:val="none"/>
                    </w:rPr>
                    <w:t>2.2.1</w:t>
                  </w:r>
                </w:p>
              </w:tc>
              <w:tc>
                <w:tcPr>
                  <w:tcW w:w="483" w:type="pct"/>
                  <w:noWrap w:val="0"/>
                  <w:vAlign w:val="center"/>
                </w:tcPr>
                <w:p>
                  <w:pPr>
                    <w:snapToGrid w:val="0"/>
                    <w:jc w:val="center"/>
                    <w:rPr>
                      <w:bCs/>
                      <w:color w:val="auto"/>
                      <w:kern w:val="0"/>
                      <w:szCs w:val="21"/>
                      <w:highlight w:val="none"/>
                    </w:rPr>
                  </w:pPr>
                  <w:r>
                    <w:rPr>
                      <w:rFonts w:hint="eastAsia"/>
                      <w:color w:val="auto"/>
                      <w:highlight w:val="none"/>
                    </w:rPr>
                    <w:t>分值构成</w:t>
                  </w:r>
                </w:p>
              </w:tc>
              <w:tc>
                <w:tcPr>
                  <w:tcW w:w="828" w:type="pct"/>
                  <w:noWrap w:val="0"/>
                  <w:tcMar>
                    <w:left w:w="75" w:type="dxa"/>
                  </w:tcMar>
                  <w:vAlign w:val="center"/>
                </w:tcPr>
                <w:p>
                  <w:pPr>
                    <w:jc w:val="center"/>
                    <w:rPr>
                      <w:color w:val="auto"/>
                      <w:highlight w:val="none"/>
                    </w:rPr>
                  </w:pPr>
                  <w:r>
                    <w:rPr>
                      <w:color w:val="auto"/>
                      <w:highlight w:val="none"/>
                    </w:rPr>
                    <w:t>分值构成</w:t>
                  </w:r>
                </w:p>
                <w:p>
                  <w:pPr>
                    <w:jc w:val="center"/>
                    <w:rPr>
                      <w:color w:val="auto"/>
                      <w:highlight w:val="none"/>
                    </w:rPr>
                  </w:pPr>
                  <w:r>
                    <w:rPr>
                      <w:rFonts w:hint="eastAsia"/>
                      <w:color w:val="auto"/>
                      <w:highlight w:val="none"/>
                    </w:rPr>
                    <w:t>（</w:t>
                  </w:r>
                  <w:r>
                    <w:rPr>
                      <w:color w:val="auto"/>
                      <w:highlight w:val="none"/>
                    </w:rPr>
                    <w:t>总分</w:t>
                  </w:r>
                  <w:r>
                    <w:rPr>
                      <w:rFonts w:hint="eastAsia"/>
                      <w:color w:val="auto"/>
                      <w:highlight w:val="none"/>
                      <w:u w:val="single"/>
                    </w:rPr>
                    <w:t xml:space="preserve"> </w:t>
                  </w:r>
                  <w:r>
                    <w:rPr>
                      <w:color w:val="auto"/>
                      <w:highlight w:val="none"/>
                      <w:u w:val="single"/>
                    </w:rPr>
                    <w:t>100</w:t>
                  </w:r>
                  <w:r>
                    <w:rPr>
                      <w:rFonts w:hint="eastAsia"/>
                      <w:color w:val="auto"/>
                      <w:highlight w:val="none"/>
                      <w:u w:val="single"/>
                    </w:rPr>
                    <w:t xml:space="preserve"> </w:t>
                  </w:r>
                  <w:r>
                    <w:rPr>
                      <w:color w:val="auto"/>
                      <w:highlight w:val="none"/>
                    </w:rPr>
                    <w:t>分</w:t>
                  </w:r>
                  <w:r>
                    <w:rPr>
                      <w:rFonts w:hint="eastAsia"/>
                      <w:color w:val="auto"/>
                      <w:highlight w:val="none"/>
                    </w:rPr>
                    <w:t>）</w:t>
                  </w:r>
                </w:p>
              </w:tc>
              <w:tc>
                <w:tcPr>
                  <w:tcW w:w="3304" w:type="pct"/>
                  <w:noWrap w:val="0"/>
                  <w:tcMar>
                    <w:left w:w="75" w:type="dxa"/>
                  </w:tcMar>
                  <w:vAlign w:val="center"/>
                </w:tcPr>
                <w:p>
                  <w:pPr>
                    <w:ind w:firstLine="120" w:firstLineChars="50"/>
                    <w:rPr>
                      <w:color w:val="auto"/>
                      <w:highlight w:val="none"/>
                    </w:rPr>
                  </w:pPr>
                  <w:r>
                    <w:rPr>
                      <w:rFonts w:hint="eastAsia"/>
                      <w:color w:val="auto"/>
                      <w:highlight w:val="none"/>
                    </w:rPr>
                    <w:t>（1）</w:t>
                  </w:r>
                  <w:r>
                    <w:rPr>
                      <w:color w:val="auto"/>
                      <w:highlight w:val="none"/>
                    </w:rPr>
                    <w:t>商务部分：</w:t>
                  </w:r>
                  <w:r>
                    <w:rPr>
                      <w:rFonts w:hint="eastAsia"/>
                      <w:color w:val="auto"/>
                      <w:highlight w:val="none"/>
                      <w:u w:val="single"/>
                      <w:lang w:val="en-US" w:eastAsia="zh-CN"/>
                    </w:rPr>
                    <w:t>30</w:t>
                  </w:r>
                  <w:r>
                    <w:rPr>
                      <w:color w:val="auto"/>
                      <w:highlight w:val="none"/>
                    </w:rPr>
                    <w:t>分</w:t>
                  </w:r>
                </w:p>
                <w:p>
                  <w:pPr>
                    <w:ind w:firstLine="120" w:firstLineChars="50"/>
                    <w:rPr>
                      <w:color w:val="auto"/>
                      <w:highlight w:val="none"/>
                    </w:rPr>
                  </w:pPr>
                  <w:r>
                    <w:rPr>
                      <w:rFonts w:hint="eastAsia"/>
                      <w:color w:val="auto"/>
                      <w:highlight w:val="none"/>
                    </w:rPr>
                    <w:t>（2）</w:t>
                  </w:r>
                  <w:r>
                    <w:rPr>
                      <w:color w:val="auto"/>
                      <w:highlight w:val="none"/>
                    </w:rPr>
                    <w:t>技术部分：</w:t>
                  </w:r>
                  <w:r>
                    <w:rPr>
                      <w:rFonts w:hint="eastAsia"/>
                      <w:color w:val="auto"/>
                      <w:highlight w:val="none"/>
                      <w:u w:val="single"/>
                    </w:rPr>
                    <w:t xml:space="preserve"> </w:t>
                  </w:r>
                  <w:r>
                    <w:rPr>
                      <w:rFonts w:hint="eastAsia"/>
                      <w:color w:val="auto"/>
                      <w:highlight w:val="none"/>
                      <w:u w:val="single"/>
                      <w:lang w:val="en-US" w:eastAsia="zh-CN"/>
                    </w:rPr>
                    <w:t>40</w:t>
                  </w:r>
                  <w:r>
                    <w:rPr>
                      <w:color w:val="auto"/>
                      <w:highlight w:val="none"/>
                    </w:rPr>
                    <w:t>分</w:t>
                  </w:r>
                </w:p>
                <w:p>
                  <w:pPr>
                    <w:ind w:firstLine="120" w:firstLineChars="50"/>
                    <w:rPr>
                      <w:color w:val="auto"/>
                      <w:highlight w:val="none"/>
                    </w:rPr>
                  </w:pPr>
                  <w:r>
                    <w:rPr>
                      <w:rFonts w:hint="eastAsia"/>
                      <w:color w:val="auto"/>
                      <w:highlight w:val="none"/>
                    </w:rPr>
                    <w:t>（3）</w:t>
                  </w:r>
                  <w:r>
                    <w:rPr>
                      <w:color w:val="auto"/>
                      <w:highlight w:val="none"/>
                    </w:rPr>
                    <w:t>投标报价：</w:t>
                  </w:r>
                  <w:r>
                    <w:rPr>
                      <w:rFonts w:hint="eastAsia"/>
                      <w:color w:val="auto"/>
                      <w:highlight w:val="none"/>
                      <w:u w:val="single"/>
                    </w:rPr>
                    <w:t xml:space="preserve"> </w:t>
                  </w:r>
                  <w:r>
                    <w:rPr>
                      <w:color w:val="auto"/>
                      <w:highlight w:val="none"/>
                      <w:u w:val="single"/>
                    </w:rPr>
                    <w:t>30</w:t>
                  </w:r>
                  <w:r>
                    <w:rPr>
                      <w:rFonts w:hint="eastAsia"/>
                      <w:color w:val="auto"/>
                      <w:highlight w:val="none"/>
                      <w:u w:val="single"/>
                    </w:rPr>
                    <w:t xml:space="preserve"> </w:t>
                  </w:r>
                  <w:r>
                    <w:rPr>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5" w:type="pct"/>
                  <w:noWrap w:val="0"/>
                  <w:vAlign w:val="center"/>
                </w:tcPr>
                <w:p>
                  <w:pPr>
                    <w:jc w:val="center"/>
                    <w:rPr>
                      <w:color w:val="000000"/>
                      <w:highlight w:val="none"/>
                    </w:rPr>
                  </w:pPr>
                  <w:r>
                    <w:rPr>
                      <w:color w:val="000000"/>
                      <w:highlight w:val="none"/>
                    </w:rPr>
                    <w:t>2.2.2</w:t>
                  </w:r>
                </w:p>
              </w:tc>
              <w:tc>
                <w:tcPr>
                  <w:tcW w:w="483" w:type="pct"/>
                  <w:noWrap w:val="0"/>
                  <w:vAlign w:val="center"/>
                </w:tcPr>
                <w:p>
                  <w:pPr>
                    <w:jc w:val="center"/>
                    <w:rPr>
                      <w:color w:val="000000"/>
                      <w:highlight w:val="none"/>
                    </w:rPr>
                  </w:pPr>
                  <w:r>
                    <w:rPr>
                      <w:highlight w:val="none"/>
                    </w:rPr>
                    <w:t>评标基准价计算</w:t>
                  </w:r>
                </w:p>
              </w:tc>
              <w:tc>
                <w:tcPr>
                  <w:tcW w:w="828" w:type="pct"/>
                  <w:noWrap w:val="0"/>
                  <w:tcMar>
                    <w:left w:w="75" w:type="dxa"/>
                  </w:tcMar>
                  <w:vAlign w:val="center"/>
                </w:tcPr>
                <w:p>
                  <w:pPr>
                    <w:jc w:val="center"/>
                    <w:rPr>
                      <w:color w:val="000000"/>
                      <w:highlight w:val="none"/>
                    </w:rPr>
                  </w:pPr>
                  <w:r>
                    <w:rPr>
                      <w:color w:val="000000"/>
                      <w:highlight w:val="none"/>
                    </w:rPr>
                    <w:t>评标基准价计算方法</w:t>
                  </w:r>
                </w:p>
              </w:tc>
              <w:tc>
                <w:tcPr>
                  <w:tcW w:w="3304" w:type="pct"/>
                  <w:noWrap w:val="0"/>
                  <w:tcMar>
                    <w:left w:w="75" w:type="dxa"/>
                  </w:tcMar>
                  <w:vAlign w:val="center"/>
                </w:tcPr>
                <w:p>
                  <w:pPr>
                    <w:ind w:firstLine="480" w:firstLineChars="200"/>
                    <w:rPr>
                      <w:color w:val="000000"/>
                      <w:highlight w:val="none"/>
                    </w:rPr>
                  </w:pPr>
                  <w:r>
                    <w:rPr>
                      <w:rFonts w:hint="eastAsia" w:ascii="宋体" w:hAnsi="宋体" w:cs="宋体"/>
                      <w:szCs w:val="22"/>
                      <w:highlight w:val="none"/>
                    </w:rPr>
                    <w:t>详见</w:t>
                  </w:r>
                  <w:r>
                    <w:rPr>
                      <w:rFonts w:hint="eastAsia" w:ascii="宋体" w:hAnsi="宋体" w:cs="宋体"/>
                      <w:highlight w:val="none"/>
                    </w:rPr>
                    <w:t>投标报价评分标准</w:t>
                  </w:r>
                </w:p>
              </w:tc>
            </w:tr>
          </w:tbl>
          <w:p>
            <w:pPr>
              <w:keepNext/>
              <w:keepLines/>
              <w:spacing w:before="120" w:after="120" w:line="360" w:lineRule="auto"/>
              <w:jc w:val="center"/>
              <w:outlineLvl w:val="2"/>
              <w:rPr>
                <w:rFonts w:hint="eastAsia" w:eastAsia="黑体"/>
                <w:bCs/>
                <w:sz w:val="24"/>
                <w:highlight w:val="none"/>
              </w:rPr>
            </w:pPr>
            <w:r>
              <w:rPr>
                <w:rFonts w:hint="eastAsia" w:eastAsia="黑体"/>
                <w:bCs/>
                <w:sz w:val="24"/>
                <w:highlight w:val="none"/>
              </w:rPr>
              <w:t>商务及技术文件初步评审标准</w:t>
            </w:r>
          </w:p>
          <w:tbl>
            <w:tblPr>
              <w:tblStyle w:val="15"/>
              <w:tblW w:w="513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
              <w:gridCol w:w="979"/>
              <w:gridCol w:w="1677"/>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67" w:type="pct"/>
                  <w:gridSpan w:val="2"/>
                  <w:noWrap w:val="0"/>
                  <w:vAlign w:val="center"/>
                </w:tcPr>
                <w:p>
                  <w:pPr>
                    <w:widowControl/>
                    <w:jc w:val="center"/>
                    <w:rPr>
                      <w:kern w:val="0"/>
                      <w:szCs w:val="21"/>
                      <w:highlight w:val="none"/>
                    </w:rPr>
                  </w:pPr>
                  <w:r>
                    <w:rPr>
                      <w:b/>
                      <w:bCs/>
                      <w:kern w:val="0"/>
                      <w:szCs w:val="21"/>
                      <w:highlight w:val="none"/>
                    </w:rPr>
                    <w:t>条款号</w:t>
                  </w:r>
                </w:p>
              </w:tc>
              <w:tc>
                <w:tcPr>
                  <w:tcW w:w="827" w:type="pct"/>
                  <w:noWrap w:val="0"/>
                  <w:vAlign w:val="center"/>
                </w:tcPr>
                <w:p>
                  <w:pPr>
                    <w:widowControl/>
                    <w:ind w:firstLine="120" w:firstLineChars="50"/>
                    <w:jc w:val="center"/>
                    <w:rPr>
                      <w:kern w:val="0"/>
                      <w:szCs w:val="21"/>
                      <w:highlight w:val="none"/>
                    </w:rPr>
                  </w:pPr>
                  <w:r>
                    <w:rPr>
                      <w:b/>
                      <w:bCs/>
                      <w:kern w:val="0"/>
                      <w:szCs w:val="21"/>
                      <w:highlight w:val="none"/>
                    </w:rPr>
                    <w:t>评审因素</w:t>
                  </w:r>
                </w:p>
              </w:tc>
              <w:tc>
                <w:tcPr>
                  <w:tcW w:w="3304" w:type="pct"/>
                  <w:noWrap w:val="0"/>
                  <w:vAlign w:val="center"/>
                </w:tcPr>
                <w:p>
                  <w:pPr>
                    <w:widowControl/>
                    <w:ind w:firstLine="120" w:firstLineChars="50"/>
                    <w:jc w:val="center"/>
                    <w:rPr>
                      <w:kern w:val="0"/>
                      <w:szCs w:val="21"/>
                      <w:highlight w:val="none"/>
                    </w:rPr>
                  </w:pPr>
                  <w:r>
                    <w:rPr>
                      <w:b/>
                      <w:bCs/>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restart"/>
                  <w:noWrap w:val="0"/>
                  <w:vAlign w:val="center"/>
                </w:tcPr>
                <w:p>
                  <w:pPr>
                    <w:widowControl/>
                    <w:jc w:val="center"/>
                    <w:rPr>
                      <w:rFonts w:hint="eastAsia"/>
                      <w:bCs/>
                      <w:kern w:val="0"/>
                      <w:szCs w:val="21"/>
                      <w:highlight w:val="none"/>
                    </w:rPr>
                  </w:pPr>
                  <w:r>
                    <w:rPr>
                      <w:bCs/>
                      <w:kern w:val="0"/>
                      <w:szCs w:val="21"/>
                      <w:highlight w:val="none"/>
                    </w:rPr>
                    <w:t>2.1</w:t>
                  </w:r>
                  <w:r>
                    <w:rPr>
                      <w:rFonts w:hint="eastAsia"/>
                      <w:bCs/>
                      <w:kern w:val="0"/>
                      <w:szCs w:val="21"/>
                      <w:highlight w:val="none"/>
                    </w:rPr>
                    <w:t>.1</w:t>
                  </w:r>
                </w:p>
              </w:tc>
              <w:tc>
                <w:tcPr>
                  <w:tcW w:w="482" w:type="pct"/>
                  <w:vMerge w:val="restart"/>
                  <w:noWrap w:val="0"/>
                  <w:vAlign w:val="center"/>
                </w:tcPr>
                <w:p>
                  <w:pPr>
                    <w:widowControl/>
                    <w:jc w:val="center"/>
                    <w:rPr>
                      <w:rFonts w:hint="eastAsia"/>
                      <w:bCs/>
                      <w:kern w:val="0"/>
                      <w:szCs w:val="21"/>
                      <w:highlight w:val="none"/>
                    </w:rPr>
                  </w:pPr>
                  <w:r>
                    <w:rPr>
                      <w:bCs/>
                      <w:kern w:val="0"/>
                      <w:szCs w:val="21"/>
                      <w:highlight w:val="none"/>
                    </w:rPr>
                    <w:t>形式评审标准</w:t>
                  </w:r>
                </w:p>
              </w:tc>
              <w:tc>
                <w:tcPr>
                  <w:tcW w:w="827" w:type="pct"/>
                  <w:noWrap w:val="0"/>
                  <w:tcMar>
                    <w:left w:w="75" w:type="dxa"/>
                  </w:tcMar>
                  <w:vAlign w:val="center"/>
                </w:tcPr>
                <w:p>
                  <w:pPr>
                    <w:spacing w:line="440" w:lineRule="exact"/>
                    <w:jc w:val="center"/>
                    <w:rPr>
                      <w:color w:val="000000"/>
                      <w:highlight w:val="none"/>
                    </w:rPr>
                  </w:pPr>
                  <w:r>
                    <w:rPr>
                      <w:color w:val="000000"/>
                      <w:highlight w:val="none"/>
                    </w:rPr>
                    <w:t>投标人名称</w:t>
                  </w:r>
                </w:p>
              </w:tc>
              <w:tc>
                <w:tcPr>
                  <w:tcW w:w="3304" w:type="pct"/>
                  <w:noWrap w:val="0"/>
                  <w:tcMar>
                    <w:left w:w="75" w:type="dxa"/>
                  </w:tcMar>
                  <w:vAlign w:val="center"/>
                </w:tcPr>
                <w:p>
                  <w:pPr>
                    <w:spacing w:line="440" w:lineRule="exact"/>
                    <w:rPr>
                      <w:rFonts w:hint="eastAsia"/>
                      <w:color w:val="000000"/>
                      <w:highlight w:val="none"/>
                    </w:rPr>
                  </w:pPr>
                  <w:r>
                    <w:rPr>
                      <w:color w:val="000000"/>
                      <w:highlight w:val="none"/>
                    </w:rPr>
                    <w:t>与营业执照、资质证书一致</w:t>
                  </w:r>
                </w:p>
                <w:p>
                  <w:pPr>
                    <w:spacing w:line="440" w:lineRule="exact"/>
                    <w:rPr>
                      <w:color w:val="000000"/>
                      <w:highlight w:val="none"/>
                    </w:rPr>
                  </w:pPr>
                  <w:r>
                    <w:rPr>
                      <w:rFonts w:hint="eastAsia"/>
                      <w:color w:val="000000"/>
                      <w:highlight w:val="none"/>
                    </w:rPr>
                    <w:t>名称变更的，应当提供证书颁发等单位提供的变更说明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center"/>
                    <w:rPr>
                      <w:rFonts w:hint="eastAsia"/>
                      <w:bCs/>
                      <w:kern w:val="0"/>
                      <w:szCs w:val="21"/>
                      <w:highlight w:val="none"/>
                    </w:rPr>
                  </w:pPr>
                </w:p>
              </w:tc>
              <w:tc>
                <w:tcPr>
                  <w:tcW w:w="482" w:type="pct"/>
                  <w:vMerge w:val="continue"/>
                  <w:noWrap w:val="0"/>
                  <w:vAlign w:val="center"/>
                </w:tcPr>
                <w:p>
                  <w:pPr>
                    <w:widowControl/>
                    <w:jc w:val="center"/>
                    <w:rPr>
                      <w:rFonts w:hint="eastAsia"/>
                      <w:bCs/>
                      <w:kern w:val="0"/>
                      <w:szCs w:val="21"/>
                      <w:highlight w:val="none"/>
                    </w:rPr>
                  </w:pPr>
                </w:p>
              </w:tc>
              <w:tc>
                <w:tcPr>
                  <w:tcW w:w="827" w:type="pct"/>
                  <w:noWrap w:val="0"/>
                  <w:tcMar>
                    <w:left w:w="75" w:type="dxa"/>
                  </w:tcMar>
                  <w:vAlign w:val="center"/>
                </w:tcPr>
                <w:p>
                  <w:pPr>
                    <w:jc w:val="center"/>
                    <w:rPr>
                      <w:color w:val="000000"/>
                      <w:highlight w:val="none"/>
                    </w:rPr>
                  </w:pPr>
                  <w:r>
                    <w:rPr>
                      <w:rFonts w:hint="eastAsia"/>
                      <w:kern w:val="0"/>
                      <w:szCs w:val="21"/>
                      <w:highlight w:val="none"/>
                    </w:rPr>
                    <w:t>签字盖章</w:t>
                  </w:r>
                </w:p>
              </w:tc>
              <w:tc>
                <w:tcPr>
                  <w:tcW w:w="3304" w:type="pct"/>
                  <w:noWrap w:val="0"/>
                  <w:tcMar>
                    <w:left w:w="75" w:type="dxa"/>
                  </w:tcMar>
                  <w:vAlign w:val="center"/>
                </w:tcPr>
                <w:p>
                  <w:pPr>
                    <w:rPr>
                      <w:color w:val="000000"/>
                      <w:highlight w:val="none"/>
                    </w:rPr>
                  </w:pPr>
                  <w:r>
                    <w:rPr>
                      <w:rFonts w:hint="eastAsia"/>
                      <w:kern w:val="0"/>
                      <w:szCs w:val="21"/>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center"/>
                    <w:rPr>
                      <w:rFonts w:hint="eastAsia"/>
                      <w:bCs/>
                      <w:kern w:val="0"/>
                      <w:szCs w:val="21"/>
                      <w:highlight w:val="none"/>
                    </w:rPr>
                  </w:pPr>
                </w:p>
              </w:tc>
              <w:tc>
                <w:tcPr>
                  <w:tcW w:w="482" w:type="pct"/>
                  <w:vMerge w:val="continue"/>
                  <w:noWrap w:val="0"/>
                  <w:vAlign w:val="center"/>
                </w:tcPr>
                <w:p>
                  <w:pPr>
                    <w:widowControl/>
                    <w:jc w:val="center"/>
                    <w:rPr>
                      <w:rFonts w:hint="eastAsia"/>
                      <w:bCs/>
                      <w:kern w:val="0"/>
                      <w:szCs w:val="21"/>
                      <w:highlight w:val="none"/>
                    </w:rPr>
                  </w:pPr>
                </w:p>
              </w:tc>
              <w:tc>
                <w:tcPr>
                  <w:tcW w:w="827" w:type="pct"/>
                  <w:noWrap w:val="0"/>
                  <w:tcMar>
                    <w:left w:w="75" w:type="dxa"/>
                  </w:tcMar>
                  <w:vAlign w:val="center"/>
                </w:tcPr>
                <w:p>
                  <w:pPr>
                    <w:jc w:val="center"/>
                    <w:rPr>
                      <w:color w:val="000000"/>
                      <w:highlight w:val="none"/>
                    </w:rPr>
                  </w:pPr>
                  <w:r>
                    <w:rPr>
                      <w:color w:val="000000"/>
                      <w:highlight w:val="none"/>
                    </w:rPr>
                    <w:t>投标文件格式</w:t>
                  </w:r>
                </w:p>
              </w:tc>
              <w:tc>
                <w:tcPr>
                  <w:tcW w:w="3304" w:type="pct"/>
                  <w:noWrap w:val="0"/>
                  <w:tcMar>
                    <w:left w:w="75" w:type="dxa"/>
                  </w:tcMar>
                  <w:vAlign w:val="center"/>
                </w:tcPr>
                <w:p>
                  <w:pPr>
                    <w:rPr>
                      <w:color w:val="000000"/>
                      <w:highlight w:val="none"/>
                    </w:rPr>
                  </w:pPr>
                  <w:r>
                    <w:rPr>
                      <w:color w:val="000000"/>
                      <w:highlight w:val="none"/>
                    </w:rPr>
                    <w:t>符合第六章</w:t>
                  </w:r>
                  <w:r>
                    <w:rPr>
                      <w:rFonts w:hint="eastAsia"/>
                      <w:color w:val="000000"/>
                      <w:highlight w:val="none"/>
                    </w:rPr>
                    <w:t>“</w:t>
                  </w:r>
                  <w:r>
                    <w:rPr>
                      <w:color w:val="000000"/>
                      <w:highlight w:val="none"/>
                    </w:rPr>
                    <w:t>投标文件格式</w:t>
                  </w:r>
                  <w:r>
                    <w:rPr>
                      <w:rFonts w:hint="eastAsia"/>
                      <w:color w:val="000000"/>
                      <w:highlight w:val="none"/>
                    </w:rPr>
                    <w:t>”</w:t>
                  </w:r>
                  <w:r>
                    <w:rPr>
                      <w:color w:val="000000"/>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center"/>
                    <w:rPr>
                      <w:rFonts w:hint="eastAsia"/>
                      <w:bCs/>
                      <w:kern w:val="0"/>
                      <w:szCs w:val="21"/>
                      <w:highlight w:val="none"/>
                    </w:rPr>
                  </w:pPr>
                </w:p>
              </w:tc>
              <w:tc>
                <w:tcPr>
                  <w:tcW w:w="482" w:type="pct"/>
                  <w:vMerge w:val="continue"/>
                  <w:noWrap w:val="0"/>
                  <w:vAlign w:val="center"/>
                </w:tcPr>
                <w:p>
                  <w:pPr>
                    <w:widowControl/>
                    <w:jc w:val="center"/>
                    <w:rPr>
                      <w:rFonts w:hint="eastAsia"/>
                      <w:bCs/>
                      <w:kern w:val="0"/>
                      <w:szCs w:val="21"/>
                      <w:highlight w:val="none"/>
                    </w:rPr>
                  </w:pPr>
                </w:p>
              </w:tc>
              <w:tc>
                <w:tcPr>
                  <w:tcW w:w="827" w:type="pct"/>
                  <w:noWrap w:val="0"/>
                  <w:tcMar>
                    <w:left w:w="75" w:type="dxa"/>
                  </w:tcMar>
                  <w:vAlign w:val="center"/>
                </w:tcPr>
                <w:p>
                  <w:pPr>
                    <w:jc w:val="center"/>
                    <w:rPr>
                      <w:color w:val="000000"/>
                      <w:highlight w:val="none"/>
                    </w:rPr>
                  </w:pPr>
                  <w:r>
                    <w:rPr>
                      <w:color w:val="000000"/>
                      <w:highlight w:val="none"/>
                    </w:rPr>
                    <w:t>联合体投标人</w:t>
                  </w:r>
                  <w:r>
                    <w:rPr>
                      <w:rFonts w:hint="eastAsia"/>
                      <w:color w:val="000000"/>
                      <w:highlight w:val="none"/>
                    </w:rPr>
                    <w:t>(本招标项目不适用)</w:t>
                  </w:r>
                </w:p>
              </w:tc>
              <w:tc>
                <w:tcPr>
                  <w:tcW w:w="3304" w:type="pct"/>
                  <w:noWrap w:val="0"/>
                  <w:tcMar>
                    <w:left w:w="75" w:type="dxa"/>
                  </w:tcMar>
                  <w:vAlign w:val="center"/>
                </w:tcPr>
                <w:p>
                  <w:pPr>
                    <w:rPr>
                      <w:color w:val="000000"/>
                      <w:highlight w:val="none"/>
                    </w:rPr>
                  </w:pPr>
                  <w:r>
                    <w:rPr>
                      <w:color w:val="000000"/>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center"/>
                    <w:rPr>
                      <w:rFonts w:hint="eastAsia"/>
                      <w:bCs/>
                      <w:kern w:val="0"/>
                      <w:szCs w:val="21"/>
                      <w:highlight w:val="none"/>
                    </w:rPr>
                  </w:pPr>
                </w:p>
              </w:tc>
              <w:tc>
                <w:tcPr>
                  <w:tcW w:w="482" w:type="pct"/>
                  <w:vMerge w:val="continue"/>
                  <w:noWrap w:val="0"/>
                  <w:vAlign w:val="center"/>
                </w:tcPr>
                <w:p>
                  <w:pPr>
                    <w:widowControl/>
                    <w:jc w:val="center"/>
                    <w:rPr>
                      <w:rFonts w:hint="eastAsia"/>
                      <w:bCs/>
                      <w:kern w:val="0"/>
                      <w:szCs w:val="21"/>
                      <w:highlight w:val="none"/>
                    </w:rPr>
                  </w:pPr>
                </w:p>
              </w:tc>
              <w:tc>
                <w:tcPr>
                  <w:tcW w:w="827" w:type="pct"/>
                  <w:noWrap w:val="0"/>
                  <w:tcMar>
                    <w:left w:w="75" w:type="dxa"/>
                  </w:tcMar>
                  <w:vAlign w:val="center"/>
                </w:tcPr>
                <w:p>
                  <w:pPr>
                    <w:jc w:val="center"/>
                    <w:rPr>
                      <w:color w:val="000000"/>
                      <w:highlight w:val="none"/>
                    </w:rPr>
                  </w:pPr>
                  <w:r>
                    <w:rPr>
                      <w:rFonts w:hint="eastAsia"/>
                      <w:kern w:val="0"/>
                      <w:szCs w:val="21"/>
                      <w:highlight w:val="none"/>
                    </w:rPr>
                    <w:t>备选投标方案</w:t>
                  </w:r>
                </w:p>
              </w:tc>
              <w:tc>
                <w:tcPr>
                  <w:tcW w:w="3304" w:type="pct"/>
                  <w:noWrap w:val="0"/>
                  <w:tcMar>
                    <w:left w:w="75" w:type="dxa"/>
                  </w:tcMar>
                  <w:vAlign w:val="center"/>
                </w:tcPr>
                <w:p>
                  <w:pPr>
                    <w:rPr>
                      <w:color w:val="000000"/>
                      <w:highlight w:val="none"/>
                    </w:rPr>
                  </w:pPr>
                  <w:r>
                    <w:rPr>
                      <w:rFonts w:hint="eastAsia"/>
                      <w:kern w:val="0"/>
                      <w:szCs w:val="21"/>
                      <w:highlight w:val="none"/>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center"/>
                    <w:rPr>
                      <w:rFonts w:hint="eastAsia"/>
                      <w:bCs/>
                      <w:kern w:val="0"/>
                      <w:szCs w:val="21"/>
                      <w:highlight w:val="none"/>
                    </w:rPr>
                  </w:pPr>
                </w:p>
              </w:tc>
              <w:tc>
                <w:tcPr>
                  <w:tcW w:w="482" w:type="pct"/>
                  <w:vMerge w:val="continue"/>
                  <w:noWrap w:val="0"/>
                  <w:vAlign w:val="center"/>
                </w:tcPr>
                <w:p>
                  <w:pPr>
                    <w:widowControl/>
                    <w:jc w:val="center"/>
                    <w:rPr>
                      <w:rFonts w:hint="eastAsia"/>
                      <w:bCs/>
                      <w:kern w:val="0"/>
                      <w:szCs w:val="21"/>
                      <w:highlight w:val="none"/>
                    </w:rPr>
                  </w:pPr>
                </w:p>
              </w:tc>
              <w:tc>
                <w:tcPr>
                  <w:tcW w:w="827"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未出现异常情形</w:t>
                  </w:r>
                </w:p>
              </w:tc>
              <w:tc>
                <w:tcPr>
                  <w:tcW w:w="3304" w:type="pct"/>
                  <w:noWrap w:val="0"/>
                  <w:tcMar>
                    <w:left w:w="75" w:type="dxa"/>
                  </w:tcMar>
                  <w:vAlign w:val="center"/>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restart"/>
                  <w:noWrap w:val="0"/>
                  <w:vAlign w:val="center"/>
                </w:tcPr>
                <w:p>
                  <w:pPr>
                    <w:widowControl/>
                    <w:jc w:val="center"/>
                    <w:rPr>
                      <w:rFonts w:hint="eastAsia"/>
                      <w:bCs/>
                      <w:kern w:val="0"/>
                      <w:szCs w:val="21"/>
                      <w:highlight w:val="none"/>
                    </w:rPr>
                  </w:pPr>
                  <w:r>
                    <w:rPr>
                      <w:rFonts w:hint="eastAsia"/>
                      <w:bCs/>
                      <w:kern w:val="0"/>
                      <w:szCs w:val="21"/>
                      <w:highlight w:val="none"/>
                    </w:rPr>
                    <w:t>2.1.2</w:t>
                  </w:r>
                </w:p>
              </w:tc>
              <w:tc>
                <w:tcPr>
                  <w:tcW w:w="482" w:type="pct"/>
                  <w:vMerge w:val="restart"/>
                  <w:noWrap w:val="0"/>
                  <w:vAlign w:val="center"/>
                </w:tcPr>
                <w:p>
                  <w:pPr>
                    <w:widowControl/>
                    <w:jc w:val="center"/>
                    <w:rPr>
                      <w:kern w:val="0"/>
                      <w:szCs w:val="21"/>
                      <w:highlight w:val="none"/>
                    </w:rPr>
                  </w:pPr>
                  <w:r>
                    <w:rPr>
                      <w:rFonts w:hint="eastAsia"/>
                      <w:bCs/>
                      <w:color w:val="auto"/>
                      <w:kern w:val="0"/>
                      <w:szCs w:val="21"/>
                      <w:highlight w:val="none"/>
                    </w:rPr>
                    <w:t>资格</w:t>
                  </w:r>
                  <w:r>
                    <w:rPr>
                      <w:bCs/>
                      <w:color w:val="auto"/>
                      <w:kern w:val="0"/>
                      <w:szCs w:val="21"/>
                      <w:highlight w:val="none"/>
                    </w:rPr>
                    <w:t>评审标准</w:t>
                  </w:r>
                </w:p>
              </w:tc>
              <w:tc>
                <w:tcPr>
                  <w:tcW w:w="827" w:type="pct"/>
                  <w:noWrap w:val="0"/>
                  <w:tcMar>
                    <w:left w:w="75" w:type="dxa"/>
                  </w:tcMar>
                  <w:vAlign w:val="center"/>
                </w:tcPr>
                <w:p>
                  <w:pPr>
                    <w:jc w:val="center"/>
                    <w:rPr>
                      <w:color w:val="000000"/>
                      <w:highlight w:val="none"/>
                    </w:rPr>
                  </w:pPr>
                  <w:r>
                    <w:rPr>
                      <w:color w:val="000000"/>
                      <w:highlight w:val="none"/>
                    </w:rPr>
                    <w:t>营业执照</w:t>
                  </w:r>
                </w:p>
              </w:tc>
              <w:tc>
                <w:tcPr>
                  <w:tcW w:w="3304" w:type="pct"/>
                  <w:noWrap w:val="0"/>
                  <w:tcMar>
                    <w:left w:w="75" w:type="dxa"/>
                  </w:tcMar>
                  <w:vAlign w:val="center"/>
                </w:tcPr>
                <w:p>
                  <w:pPr>
                    <w:jc w:val="left"/>
                    <w:rPr>
                      <w:rFonts w:hint="eastAsia"/>
                      <w:color w:val="000000"/>
                      <w:kern w:val="0"/>
                      <w:szCs w:val="21"/>
                      <w:highlight w:val="none"/>
                    </w:rPr>
                  </w:pPr>
                  <w:r>
                    <w:rPr>
                      <w:color w:val="000000"/>
                      <w:highlight w:val="none"/>
                    </w:rPr>
                    <w:t>符合第二章</w:t>
                  </w:r>
                  <w:r>
                    <w:rPr>
                      <w:rFonts w:hint="eastAsia"/>
                      <w:kern w:val="0"/>
                      <w:szCs w:val="21"/>
                      <w:highlight w:val="none"/>
                    </w:rPr>
                    <w:t>“投标人须知”</w:t>
                  </w:r>
                  <w:r>
                    <w:rPr>
                      <w:color w:val="000000"/>
                      <w:highlight w:val="none"/>
                    </w:rPr>
                    <w:t>第3.5.1项规定，具备有效的营业执照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spacing w:line="440" w:lineRule="exact"/>
                    <w:jc w:val="center"/>
                    <w:rPr>
                      <w:color w:val="000000"/>
                      <w:highlight w:val="none"/>
                    </w:rPr>
                  </w:pPr>
                  <w:r>
                    <w:rPr>
                      <w:color w:val="000000"/>
                      <w:highlight w:val="none"/>
                    </w:rPr>
                    <w:t>资质要求</w:t>
                  </w:r>
                </w:p>
              </w:tc>
              <w:tc>
                <w:tcPr>
                  <w:tcW w:w="3304" w:type="pct"/>
                  <w:noWrap w:val="0"/>
                  <w:tcMar>
                    <w:left w:w="75" w:type="dxa"/>
                  </w:tcMar>
                  <w:vAlign w:val="center"/>
                </w:tcPr>
                <w:p>
                  <w:pPr>
                    <w:spacing w:line="440" w:lineRule="exact"/>
                    <w:rPr>
                      <w:color w:val="000000"/>
                      <w:highlight w:val="none"/>
                    </w:rPr>
                  </w:pPr>
                  <w:r>
                    <w:rPr>
                      <w:color w:val="000000"/>
                      <w:highlight w:val="none"/>
                    </w:rPr>
                    <w:t>符合第二章</w:t>
                  </w:r>
                  <w:r>
                    <w:rPr>
                      <w:rFonts w:hint="eastAsia"/>
                      <w:kern w:val="0"/>
                      <w:szCs w:val="21"/>
                      <w:highlight w:val="none"/>
                    </w:rPr>
                    <w:t>“投标人须知”</w:t>
                  </w:r>
                  <w:r>
                    <w:rPr>
                      <w:color w:val="000000"/>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jc w:val="center"/>
                    <w:rPr>
                      <w:color w:val="000000"/>
                      <w:highlight w:val="none"/>
                    </w:rPr>
                  </w:pPr>
                  <w:r>
                    <w:rPr>
                      <w:color w:val="000000"/>
                      <w:highlight w:val="none"/>
                    </w:rPr>
                    <w:t>投标货物制造商的资质要求（如有）</w:t>
                  </w:r>
                </w:p>
              </w:tc>
              <w:tc>
                <w:tcPr>
                  <w:tcW w:w="3304" w:type="pct"/>
                  <w:noWrap w:val="0"/>
                  <w:tcMar>
                    <w:left w:w="75" w:type="dxa"/>
                  </w:tcMar>
                  <w:vAlign w:val="center"/>
                </w:tcPr>
                <w:p>
                  <w:pPr>
                    <w:rPr>
                      <w:color w:val="000000"/>
                      <w:highlight w:val="none"/>
                    </w:rPr>
                  </w:pPr>
                  <w:r>
                    <w:rPr>
                      <w:color w:val="000000"/>
                      <w:highlight w:val="none"/>
                    </w:rPr>
                    <w:t>符合第二章</w:t>
                  </w:r>
                  <w:r>
                    <w:rPr>
                      <w:rFonts w:hint="eastAsia"/>
                      <w:kern w:val="0"/>
                      <w:szCs w:val="21"/>
                      <w:highlight w:val="none"/>
                    </w:rPr>
                    <w:t>“投标人须知”</w:t>
                  </w:r>
                  <w:r>
                    <w:rPr>
                      <w:color w:val="000000"/>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color w:val="000000"/>
                      <w:kern w:val="0"/>
                      <w:szCs w:val="21"/>
                      <w:highlight w:val="none"/>
                    </w:rPr>
                  </w:pPr>
                  <w:r>
                    <w:rPr>
                      <w:rFonts w:hint="eastAsia"/>
                      <w:color w:val="000000"/>
                      <w:kern w:val="0"/>
                      <w:szCs w:val="21"/>
                      <w:highlight w:val="none"/>
                    </w:rPr>
                    <w:t>生产/制造许可证（如有）</w:t>
                  </w:r>
                </w:p>
              </w:tc>
              <w:tc>
                <w:tcPr>
                  <w:tcW w:w="3304" w:type="pct"/>
                  <w:noWrap w:val="0"/>
                  <w:tcMar>
                    <w:left w:w="75" w:type="dxa"/>
                  </w:tcMar>
                  <w:vAlign w:val="center"/>
                </w:tcPr>
                <w:p>
                  <w:pPr>
                    <w:jc w:val="left"/>
                    <w:rPr>
                      <w:rFonts w:hint="eastAsia"/>
                      <w:color w:val="000000"/>
                      <w:kern w:val="0"/>
                      <w:szCs w:val="21"/>
                      <w:highlight w:val="none"/>
                    </w:rPr>
                  </w:pPr>
                  <w:r>
                    <w:rPr>
                      <w:color w:val="000000"/>
                      <w:szCs w:val="21"/>
                      <w:highlight w:val="none"/>
                    </w:rPr>
                    <w:t>具备有效的生产/制造许可证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kern w:val="0"/>
                      <w:szCs w:val="21"/>
                      <w:highlight w:val="none"/>
                    </w:rPr>
                  </w:pPr>
                  <w:r>
                    <w:rPr>
                      <w:rFonts w:hint="eastAsia"/>
                      <w:kern w:val="0"/>
                      <w:szCs w:val="21"/>
                      <w:highlight w:val="none"/>
                    </w:rPr>
                    <w:t>财务要求</w:t>
                  </w:r>
                </w:p>
              </w:tc>
              <w:tc>
                <w:tcPr>
                  <w:tcW w:w="3304" w:type="pct"/>
                  <w:noWrap w:val="0"/>
                  <w:tcMar>
                    <w:left w:w="75" w:type="dxa"/>
                  </w:tcMar>
                  <w:vAlign w:val="center"/>
                </w:tcPr>
                <w:p>
                  <w:pPr>
                    <w:jc w:val="left"/>
                    <w:rPr>
                      <w:rFonts w:hint="eastAsia"/>
                      <w:kern w:val="0"/>
                      <w:szCs w:val="21"/>
                      <w:highlight w:val="none"/>
                    </w:rPr>
                  </w:pPr>
                  <w:r>
                    <w:rPr>
                      <w:rFonts w:hint="eastAsia"/>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kern w:val="0"/>
                      <w:szCs w:val="21"/>
                      <w:highlight w:val="none"/>
                    </w:rPr>
                  </w:pPr>
                  <w:r>
                    <w:rPr>
                      <w:rFonts w:hint="eastAsia"/>
                      <w:kern w:val="0"/>
                      <w:szCs w:val="21"/>
                      <w:highlight w:val="none"/>
                    </w:rPr>
                    <w:t>投标人业绩要求</w:t>
                  </w:r>
                </w:p>
              </w:tc>
              <w:tc>
                <w:tcPr>
                  <w:tcW w:w="3304" w:type="pct"/>
                  <w:noWrap w:val="0"/>
                  <w:tcMar>
                    <w:left w:w="75" w:type="dxa"/>
                  </w:tcMar>
                  <w:vAlign w:val="center"/>
                </w:tcPr>
                <w:p>
                  <w:pPr>
                    <w:jc w:val="left"/>
                    <w:rPr>
                      <w:rFonts w:hint="eastAsia"/>
                      <w:kern w:val="0"/>
                      <w:szCs w:val="21"/>
                      <w:highlight w:val="none"/>
                    </w:rPr>
                  </w:pPr>
                  <w:r>
                    <w:rPr>
                      <w:rFonts w:hint="eastAsia"/>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jc w:val="center"/>
                    <w:rPr>
                      <w:color w:val="000000"/>
                      <w:highlight w:val="none"/>
                    </w:rPr>
                  </w:pPr>
                  <w:r>
                    <w:rPr>
                      <w:color w:val="000000"/>
                      <w:highlight w:val="none"/>
                    </w:rPr>
                    <w:t>投标货物的业绩要求（如有）</w:t>
                  </w:r>
                </w:p>
              </w:tc>
              <w:tc>
                <w:tcPr>
                  <w:tcW w:w="3304" w:type="pct"/>
                  <w:noWrap w:val="0"/>
                  <w:tcMar>
                    <w:left w:w="75" w:type="dxa"/>
                  </w:tcMar>
                  <w:vAlign w:val="center"/>
                </w:tcPr>
                <w:p>
                  <w:pPr>
                    <w:rPr>
                      <w:color w:val="0000FF"/>
                      <w:highlight w:val="none"/>
                    </w:rPr>
                  </w:pPr>
                  <w:r>
                    <w:rPr>
                      <w:color w:val="000000"/>
                      <w:highlight w:val="none"/>
                    </w:rPr>
                    <w:t>符合第二章</w:t>
                  </w:r>
                  <w:r>
                    <w:rPr>
                      <w:rFonts w:hint="eastAsia"/>
                      <w:kern w:val="0"/>
                      <w:szCs w:val="21"/>
                      <w:highlight w:val="none"/>
                    </w:rPr>
                    <w:t>“投标人须知”</w:t>
                  </w:r>
                  <w:r>
                    <w:rPr>
                      <w:color w:val="000000"/>
                      <w:highlight w:val="none"/>
                    </w:rPr>
                    <w:t>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kern w:val="0"/>
                      <w:szCs w:val="21"/>
                      <w:highlight w:val="none"/>
                    </w:rPr>
                  </w:pPr>
                  <w:r>
                    <w:rPr>
                      <w:rFonts w:hint="eastAsia"/>
                      <w:kern w:val="0"/>
                      <w:szCs w:val="21"/>
                      <w:highlight w:val="none"/>
                    </w:rPr>
                    <w:t>信誉要求</w:t>
                  </w:r>
                </w:p>
              </w:tc>
              <w:tc>
                <w:tcPr>
                  <w:tcW w:w="3304" w:type="pct"/>
                  <w:noWrap w:val="0"/>
                  <w:tcMar>
                    <w:left w:w="75" w:type="dxa"/>
                  </w:tcMar>
                  <w:vAlign w:val="center"/>
                </w:tcPr>
                <w:p>
                  <w:pPr>
                    <w:jc w:val="left"/>
                    <w:rPr>
                      <w:rFonts w:hint="eastAsia"/>
                      <w:kern w:val="0"/>
                      <w:szCs w:val="21"/>
                      <w:highlight w:val="none"/>
                    </w:rPr>
                  </w:pPr>
                  <w:r>
                    <w:rPr>
                      <w:rFonts w:hint="eastAsia"/>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highlight w:val="none"/>
                    </w:rPr>
                  </w:pPr>
                  <w:r>
                    <w:rPr>
                      <w:rFonts w:hint="eastAsia"/>
                      <w:highlight w:val="none"/>
                    </w:rPr>
                    <w:t>其他要求</w:t>
                  </w:r>
                </w:p>
              </w:tc>
              <w:tc>
                <w:tcPr>
                  <w:tcW w:w="3304" w:type="pct"/>
                  <w:noWrap w:val="0"/>
                  <w:tcMar>
                    <w:left w:w="75" w:type="dxa"/>
                  </w:tcMar>
                  <w:vAlign w:val="center"/>
                </w:tcPr>
                <w:p>
                  <w:pPr>
                    <w:widowControl/>
                    <w:jc w:val="left"/>
                    <w:rPr>
                      <w:rFonts w:hint="eastAsia"/>
                      <w:kern w:val="0"/>
                      <w:szCs w:val="21"/>
                      <w:highlight w:val="none"/>
                    </w:rPr>
                  </w:pPr>
                  <w:r>
                    <w:rPr>
                      <w:rFonts w:hint="eastAsia"/>
                      <w:kern w:val="0"/>
                      <w:szCs w:val="21"/>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highlight w:val="none"/>
                    </w:rPr>
                  </w:pPr>
                  <w:r>
                    <w:rPr>
                      <w:color w:val="000000"/>
                      <w:highlight w:val="none"/>
                    </w:rPr>
                    <w:t>联合体投标人</w:t>
                  </w:r>
                  <w:r>
                    <w:rPr>
                      <w:rFonts w:hint="eastAsia"/>
                      <w:color w:val="000000"/>
                      <w:highlight w:val="none"/>
                    </w:rPr>
                    <w:t>(本招标项目不适用)</w:t>
                  </w:r>
                </w:p>
              </w:tc>
              <w:tc>
                <w:tcPr>
                  <w:tcW w:w="3304" w:type="pct"/>
                  <w:noWrap w:val="0"/>
                  <w:tcMar>
                    <w:left w:w="75" w:type="dxa"/>
                  </w:tcMar>
                  <w:vAlign w:val="center"/>
                </w:tcPr>
                <w:p>
                  <w:pPr>
                    <w:widowControl/>
                    <w:jc w:val="left"/>
                    <w:rPr>
                      <w:rFonts w:hint="eastAsia"/>
                      <w:kern w:val="0"/>
                      <w:szCs w:val="21"/>
                      <w:highlight w:val="none"/>
                    </w:rPr>
                  </w:pPr>
                  <w:r>
                    <w:rPr>
                      <w:rFonts w:hint="eastAsia"/>
                      <w:kern w:val="0"/>
                      <w:szCs w:val="21"/>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kern w:val="0"/>
                      <w:szCs w:val="21"/>
                      <w:highlight w:val="none"/>
                    </w:rPr>
                  </w:pPr>
                  <w:r>
                    <w:rPr>
                      <w:color w:val="000000"/>
                      <w:highlight w:val="none"/>
                    </w:rPr>
                    <w:t>不存在禁止投标的情形</w:t>
                  </w:r>
                </w:p>
              </w:tc>
              <w:tc>
                <w:tcPr>
                  <w:tcW w:w="3304" w:type="pct"/>
                  <w:noWrap w:val="0"/>
                  <w:tcMar>
                    <w:left w:w="75" w:type="dxa"/>
                  </w:tcMar>
                  <w:vAlign w:val="center"/>
                </w:tcPr>
                <w:p>
                  <w:pPr>
                    <w:jc w:val="left"/>
                    <w:rPr>
                      <w:rFonts w:hint="eastAsia"/>
                      <w:kern w:val="0"/>
                      <w:szCs w:val="21"/>
                      <w:highlight w:val="none"/>
                    </w:rPr>
                  </w:pPr>
                  <w:r>
                    <w:rPr>
                      <w:color w:val="000000"/>
                      <w:highlight w:val="none"/>
                    </w:rPr>
                    <w:t>不存在第二章</w:t>
                  </w:r>
                  <w:r>
                    <w:rPr>
                      <w:rFonts w:hint="eastAsia"/>
                      <w:kern w:val="0"/>
                      <w:szCs w:val="21"/>
                      <w:highlight w:val="none"/>
                    </w:rPr>
                    <w:t>“投标人须知”</w:t>
                  </w:r>
                  <w:r>
                    <w:rPr>
                      <w:color w:val="000000"/>
                      <w:highlight w:val="none"/>
                    </w:rPr>
                    <w:t>第1.4.3项</w:t>
                  </w:r>
                  <w:r>
                    <w:rPr>
                      <w:rFonts w:hint="eastAsia"/>
                      <w:color w:val="000000"/>
                      <w:highlight w:val="none"/>
                    </w:rPr>
                    <w:t>或</w:t>
                  </w:r>
                  <w:r>
                    <w:rPr>
                      <w:color w:val="000000"/>
                      <w:highlight w:val="none"/>
                    </w:rPr>
                    <w:t>第1.4.</w:t>
                  </w:r>
                  <w:r>
                    <w:rPr>
                      <w:rFonts w:hint="eastAsia"/>
                      <w:color w:val="000000"/>
                      <w:highlight w:val="none"/>
                    </w:rPr>
                    <w:t>4</w:t>
                  </w:r>
                  <w:r>
                    <w:rPr>
                      <w:color w:val="000000"/>
                      <w:highlight w:val="none"/>
                    </w:rPr>
                    <w:t>项规定的任何一种情形</w:t>
                  </w:r>
                  <w:r>
                    <w:rPr>
                      <w:rFonts w:hint="eastAsia"/>
                      <w:color w:val="000000"/>
                      <w:highlight w:val="none"/>
                    </w:rPr>
                    <w:t>，投标人在投标函中承诺，不需要提供相关证明材料。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restart"/>
                  <w:noWrap w:val="0"/>
                  <w:vAlign w:val="center"/>
                </w:tcPr>
                <w:p>
                  <w:pPr>
                    <w:widowControl/>
                    <w:jc w:val="center"/>
                    <w:rPr>
                      <w:kern w:val="0"/>
                      <w:szCs w:val="21"/>
                      <w:highlight w:val="none"/>
                    </w:rPr>
                  </w:pPr>
                  <w:r>
                    <w:rPr>
                      <w:rFonts w:hint="eastAsia"/>
                      <w:highlight w:val="none"/>
                    </w:rPr>
                    <w:t>2.1.3</w:t>
                  </w:r>
                </w:p>
              </w:tc>
              <w:tc>
                <w:tcPr>
                  <w:tcW w:w="482" w:type="pct"/>
                  <w:vMerge w:val="restart"/>
                  <w:noWrap w:val="0"/>
                  <w:vAlign w:val="center"/>
                </w:tcPr>
                <w:p>
                  <w:pPr>
                    <w:widowControl/>
                    <w:jc w:val="left"/>
                    <w:rPr>
                      <w:kern w:val="0"/>
                      <w:szCs w:val="21"/>
                      <w:highlight w:val="none"/>
                    </w:rPr>
                  </w:pPr>
                  <w:r>
                    <w:rPr>
                      <w:rFonts w:hint="eastAsia"/>
                      <w:bCs/>
                      <w:kern w:val="0"/>
                      <w:szCs w:val="21"/>
                      <w:highlight w:val="none"/>
                    </w:rPr>
                    <w:t>响应性评审标准</w:t>
                  </w:r>
                </w:p>
              </w:tc>
              <w:tc>
                <w:tcPr>
                  <w:tcW w:w="827" w:type="pct"/>
                  <w:noWrap w:val="0"/>
                  <w:tcMar>
                    <w:left w:w="75" w:type="dxa"/>
                  </w:tcMar>
                  <w:vAlign w:val="center"/>
                </w:tcPr>
                <w:p>
                  <w:pPr>
                    <w:widowControl/>
                    <w:adjustRightInd w:val="0"/>
                    <w:snapToGrid w:val="0"/>
                    <w:jc w:val="center"/>
                    <w:rPr>
                      <w:color w:val="000000"/>
                      <w:highlight w:val="none"/>
                    </w:rPr>
                  </w:pPr>
                  <w:r>
                    <w:rPr>
                      <w:color w:val="000000"/>
                      <w:highlight w:val="none"/>
                    </w:rPr>
                    <w:t>投标内容</w:t>
                  </w:r>
                </w:p>
              </w:tc>
              <w:tc>
                <w:tcPr>
                  <w:tcW w:w="3304" w:type="pct"/>
                  <w:noWrap w:val="0"/>
                  <w:tcMar>
                    <w:left w:w="75" w:type="dxa"/>
                  </w:tcMar>
                  <w:vAlign w:val="center"/>
                </w:tcPr>
                <w:p>
                  <w:pPr>
                    <w:spacing w:line="440" w:lineRule="exact"/>
                    <w:jc w:val="left"/>
                    <w:rPr>
                      <w:color w:val="000000"/>
                      <w:highlight w:val="none"/>
                    </w:rPr>
                  </w:pPr>
                  <w:r>
                    <w:rPr>
                      <w:color w:val="000000"/>
                      <w:highlight w:val="none"/>
                    </w:rPr>
                    <w:t>符合第二章</w:t>
                  </w:r>
                  <w:r>
                    <w:rPr>
                      <w:rFonts w:hint="eastAsia"/>
                      <w:kern w:val="0"/>
                      <w:szCs w:val="21"/>
                      <w:highlight w:val="none"/>
                    </w:rPr>
                    <w:t>“投标人须知”</w:t>
                  </w:r>
                  <w:r>
                    <w:rPr>
                      <w:color w:val="000000"/>
                      <w:highlight w:val="none"/>
                    </w:rPr>
                    <w:t>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rFonts w:hint="eastAsia"/>
                      <w:highlight w:val="none"/>
                    </w:rPr>
                  </w:pPr>
                </w:p>
              </w:tc>
              <w:tc>
                <w:tcPr>
                  <w:tcW w:w="482" w:type="pct"/>
                  <w:vMerge w:val="continue"/>
                  <w:noWrap w:val="0"/>
                  <w:vAlign w:val="center"/>
                </w:tcPr>
                <w:p>
                  <w:pPr>
                    <w:widowControl/>
                    <w:jc w:val="left"/>
                    <w:rPr>
                      <w:rFonts w:hint="eastAsia"/>
                      <w:bCs/>
                      <w:kern w:val="0"/>
                      <w:szCs w:val="21"/>
                      <w:highlight w:val="none"/>
                    </w:rPr>
                  </w:pPr>
                </w:p>
              </w:tc>
              <w:tc>
                <w:tcPr>
                  <w:tcW w:w="827" w:type="pct"/>
                  <w:noWrap w:val="0"/>
                  <w:tcMar>
                    <w:left w:w="75" w:type="dxa"/>
                  </w:tcMar>
                  <w:vAlign w:val="center"/>
                </w:tcPr>
                <w:p>
                  <w:pPr>
                    <w:widowControl/>
                    <w:adjustRightInd w:val="0"/>
                    <w:snapToGrid w:val="0"/>
                    <w:jc w:val="center"/>
                    <w:rPr>
                      <w:color w:val="000000"/>
                      <w:highlight w:val="none"/>
                    </w:rPr>
                  </w:pPr>
                  <w:r>
                    <w:rPr>
                      <w:color w:val="000000"/>
                      <w:highlight w:val="none"/>
                    </w:rPr>
                    <w:t>交货及安装周期</w:t>
                  </w:r>
                </w:p>
              </w:tc>
              <w:tc>
                <w:tcPr>
                  <w:tcW w:w="3304" w:type="pct"/>
                  <w:noWrap w:val="0"/>
                  <w:tcMar>
                    <w:left w:w="75" w:type="dxa"/>
                  </w:tcMar>
                  <w:vAlign w:val="center"/>
                </w:tcPr>
                <w:p>
                  <w:pPr>
                    <w:spacing w:line="440" w:lineRule="exact"/>
                    <w:jc w:val="left"/>
                    <w:rPr>
                      <w:color w:val="000000"/>
                      <w:highlight w:val="none"/>
                    </w:rPr>
                  </w:pPr>
                  <w:r>
                    <w:rPr>
                      <w:color w:val="000000"/>
                      <w:highlight w:val="none"/>
                    </w:rPr>
                    <w:t>符合第二章</w:t>
                  </w:r>
                  <w:r>
                    <w:rPr>
                      <w:rFonts w:hint="eastAsia"/>
                      <w:kern w:val="0"/>
                      <w:szCs w:val="21"/>
                      <w:highlight w:val="none"/>
                    </w:rPr>
                    <w:t>“投标人须知”</w:t>
                  </w:r>
                  <w:r>
                    <w:rPr>
                      <w:color w:val="000000"/>
                      <w:highlight w:val="none"/>
                    </w:rPr>
                    <w:t>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rFonts w:hint="eastAsia"/>
                      <w:highlight w:val="none"/>
                    </w:rPr>
                  </w:pPr>
                </w:p>
              </w:tc>
              <w:tc>
                <w:tcPr>
                  <w:tcW w:w="482" w:type="pct"/>
                  <w:vMerge w:val="continue"/>
                  <w:noWrap w:val="0"/>
                  <w:vAlign w:val="center"/>
                </w:tcPr>
                <w:p>
                  <w:pPr>
                    <w:widowControl/>
                    <w:jc w:val="left"/>
                    <w:rPr>
                      <w:rFonts w:hint="eastAsia"/>
                      <w:bCs/>
                      <w:kern w:val="0"/>
                      <w:szCs w:val="21"/>
                      <w:highlight w:val="none"/>
                    </w:rPr>
                  </w:pPr>
                </w:p>
              </w:tc>
              <w:tc>
                <w:tcPr>
                  <w:tcW w:w="827" w:type="pct"/>
                  <w:noWrap w:val="0"/>
                  <w:tcMar>
                    <w:left w:w="75" w:type="dxa"/>
                  </w:tcMar>
                  <w:vAlign w:val="center"/>
                </w:tcPr>
                <w:p>
                  <w:pPr>
                    <w:widowControl/>
                    <w:adjustRightInd w:val="0"/>
                    <w:snapToGrid w:val="0"/>
                    <w:jc w:val="center"/>
                    <w:rPr>
                      <w:color w:val="000000"/>
                      <w:highlight w:val="none"/>
                    </w:rPr>
                  </w:pPr>
                  <w:r>
                    <w:rPr>
                      <w:rFonts w:hint="eastAsia"/>
                      <w:color w:val="000000"/>
                      <w:highlight w:val="none"/>
                    </w:rPr>
                    <w:t>交货及安装地点</w:t>
                  </w:r>
                </w:p>
              </w:tc>
              <w:tc>
                <w:tcPr>
                  <w:tcW w:w="3304" w:type="pct"/>
                  <w:noWrap w:val="0"/>
                  <w:tcMar>
                    <w:left w:w="75" w:type="dxa"/>
                  </w:tcMar>
                  <w:vAlign w:val="center"/>
                </w:tcPr>
                <w:p>
                  <w:pPr>
                    <w:spacing w:line="440" w:lineRule="exact"/>
                    <w:jc w:val="left"/>
                    <w:rPr>
                      <w:color w:val="000000"/>
                      <w:highlight w:val="none"/>
                    </w:rPr>
                  </w:pPr>
                  <w:r>
                    <w:rPr>
                      <w:color w:val="000000"/>
                      <w:highlight w:val="none"/>
                    </w:rPr>
                    <w:t>符合第二章</w:t>
                  </w:r>
                  <w:r>
                    <w:rPr>
                      <w:rFonts w:hint="eastAsia"/>
                      <w:kern w:val="0"/>
                      <w:szCs w:val="21"/>
                      <w:highlight w:val="none"/>
                    </w:rPr>
                    <w:t>“投标人须知”</w:t>
                  </w:r>
                  <w:r>
                    <w:rPr>
                      <w:color w:val="000000"/>
                      <w:highlight w:val="none"/>
                    </w:rPr>
                    <w:t>第1.3.</w:t>
                  </w:r>
                  <w:r>
                    <w:rPr>
                      <w:rFonts w:hint="eastAsia"/>
                      <w:color w:val="000000"/>
                      <w:highlight w:val="none"/>
                    </w:rPr>
                    <w:t>3</w:t>
                  </w:r>
                  <w:r>
                    <w:rPr>
                      <w:color w:val="000000"/>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rFonts w:hint="eastAsia"/>
                      <w:highlight w:val="none"/>
                    </w:rPr>
                  </w:pPr>
                </w:p>
              </w:tc>
              <w:tc>
                <w:tcPr>
                  <w:tcW w:w="482" w:type="pct"/>
                  <w:vMerge w:val="continue"/>
                  <w:noWrap w:val="0"/>
                  <w:vAlign w:val="center"/>
                </w:tcPr>
                <w:p>
                  <w:pPr>
                    <w:widowControl/>
                    <w:jc w:val="left"/>
                    <w:rPr>
                      <w:rFonts w:hint="eastAsia"/>
                      <w:bCs/>
                      <w:kern w:val="0"/>
                      <w:szCs w:val="21"/>
                      <w:highlight w:val="none"/>
                    </w:rPr>
                  </w:pPr>
                </w:p>
              </w:tc>
              <w:tc>
                <w:tcPr>
                  <w:tcW w:w="827"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投标有效期</w:t>
                  </w:r>
                </w:p>
              </w:tc>
              <w:tc>
                <w:tcPr>
                  <w:tcW w:w="3304" w:type="pct"/>
                  <w:noWrap w:val="0"/>
                  <w:tcMar>
                    <w:left w:w="75" w:type="dxa"/>
                  </w:tcMar>
                  <w:vAlign w:val="center"/>
                </w:tcPr>
                <w:p>
                  <w:pPr>
                    <w:rPr>
                      <w:kern w:val="0"/>
                      <w:szCs w:val="21"/>
                      <w:highlight w:val="none"/>
                    </w:rPr>
                  </w:pPr>
                  <w:r>
                    <w:rPr>
                      <w:kern w:val="0"/>
                      <w:szCs w:val="21"/>
                      <w:highlight w:val="none"/>
                    </w:rPr>
                    <w:t>符合第二章</w:t>
                  </w:r>
                  <w:r>
                    <w:rPr>
                      <w:rFonts w:hint="eastAsia"/>
                      <w:kern w:val="0"/>
                      <w:szCs w:val="21"/>
                      <w:highlight w:val="none"/>
                    </w:rPr>
                    <w:t>“投标人须知”</w:t>
                  </w:r>
                  <w:r>
                    <w:rPr>
                      <w:kern w:val="0"/>
                      <w:szCs w:val="21"/>
                      <w:highlight w:val="none"/>
                    </w:rPr>
                    <w:t>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投标保证金</w:t>
                  </w:r>
                </w:p>
              </w:tc>
              <w:tc>
                <w:tcPr>
                  <w:tcW w:w="3304" w:type="pct"/>
                  <w:noWrap w:val="0"/>
                  <w:tcMar>
                    <w:left w:w="75" w:type="dxa"/>
                  </w:tcMar>
                  <w:vAlign w:val="center"/>
                </w:tcPr>
                <w:p>
                  <w:pPr>
                    <w:widowControl/>
                    <w:jc w:val="left"/>
                    <w:rPr>
                      <w:kern w:val="0"/>
                      <w:szCs w:val="21"/>
                      <w:highlight w:val="none"/>
                    </w:rPr>
                  </w:pPr>
                  <w:r>
                    <w:rPr>
                      <w:rFonts w:hint="eastAsia"/>
                      <w:kern w:val="0"/>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权利义务</w:t>
                  </w:r>
                </w:p>
              </w:tc>
              <w:tc>
                <w:tcPr>
                  <w:tcW w:w="3304" w:type="pct"/>
                  <w:noWrap w:val="0"/>
                  <w:tcMar>
                    <w:left w:w="75" w:type="dxa"/>
                  </w:tcMar>
                  <w:vAlign w:val="center"/>
                </w:tcPr>
                <w:p>
                  <w:pPr>
                    <w:widowControl/>
                    <w:jc w:val="left"/>
                    <w:rPr>
                      <w:kern w:val="0"/>
                      <w:szCs w:val="21"/>
                      <w:highlight w:val="none"/>
                    </w:rPr>
                  </w:pPr>
                  <w:r>
                    <w:rPr>
                      <w:rFonts w:hint="eastAsia"/>
                      <w:highlight w:val="none"/>
                    </w:rPr>
                    <w:t>符合第二章</w:t>
                  </w:r>
                  <w:r>
                    <w:rPr>
                      <w:highlight w:val="none"/>
                    </w:rPr>
                    <w:t>“</w:t>
                  </w:r>
                  <w:r>
                    <w:rPr>
                      <w:rFonts w:hint="eastAsia"/>
                      <w:highlight w:val="none"/>
                    </w:rPr>
                    <w:t>投标人须知</w:t>
                  </w:r>
                  <w:r>
                    <w:rPr>
                      <w:highlight w:val="none"/>
                    </w:rPr>
                    <w:t>”</w:t>
                  </w:r>
                  <w:r>
                    <w:rPr>
                      <w:rFonts w:hint="eastAsia"/>
                      <w:highlight w:val="none"/>
                    </w:rPr>
                    <w:t>第</w:t>
                  </w:r>
                  <w:r>
                    <w:rPr>
                      <w:highlight w:val="none"/>
                    </w:rPr>
                    <w:t>1.1</w:t>
                  </w:r>
                  <w:r>
                    <w:rPr>
                      <w:rFonts w:hint="eastAsia"/>
                      <w:highlight w:val="none"/>
                    </w:rPr>
                    <w:t>2</w:t>
                  </w:r>
                  <w:r>
                    <w:rPr>
                      <w:highlight w:val="none"/>
                    </w:rPr>
                    <w:t>.1</w:t>
                  </w:r>
                  <w:r>
                    <w:rPr>
                      <w:rFonts w:hint="eastAsia"/>
                      <w:highlight w:val="none"/>
                    </w:rPr>
                    <w:t>项规定和第四章</w:t>
                  </w:r>
                  <w:r>
                    <w:rPr>
                      <w:highlight w:val="none"/>
                    </w:rPr>
                    <w:t>“</w:t>
                  </w:r>
                  <w:r>
                    <w:rPr>
                      <w:rFonts w:hint="eastAsia"/>
                      <w:highlight w:val="none"/>
                    </w:rPr>
                    <w:t>合同条款及格式</w:t>
                  </w:r>
                  <w:r>
                    <w:rPr>
                      <w:highlight w:val="none"/>
                    </w:rPr>
                    <w:t>”</w:t>
                  </w:r>
                  <w:r>
                    <w:rPr>
                      <w:rFonts w:hint="eastAsia"/>
                      <w:highlight w:val="none"/>
                    </w:rPr>
                    <w:t>中的</w:t>
                  </w:r>
                  <w:r>
                    <w:rPr>
                      <w:rFonts w:hint="eastAsia"/>
                      <w:color w:val="000000"/>
                      <w:highlight w:val="none"/>
                    </w:rPr>
                    <w:t>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color w:val="000000"/>
                      <w:highlight w:val="none"/>
                    </w:rPr>
                  </w:pPr>
                  <w:r>
                    <w:rPr>
                      <w:rFonts w:hint="eastAsia"/>
                      <w:color w:val="000000"/>
                      <w:highlight w:val="none"/>
                    </w:rPr>
                    <w:t>招标文件的获取</w:t>
                  </w:r>
                </w:p>
              </w:tc>
              <w:tc>
                <w:tcPr>
                  <w:tcW w:w="3304" w:type="pct"/>
                  <w:noWrap w:val="0"/>
                  <w:tcMar>
                    <w:left w:w="75" w:type="dxa"/>
                  </w:tcMar>
                  <w:vAlign w:val="center"/>
                </w:tcPr>
                <w:p>
                  <w:pPr>
                    <w:widowControl/>
                    <w:rPr>
                      <w:rFonts w:hint="eastAsia"/>
                      <w:color w:val="000000"/>
                      <w:kern w:val="0"/>
                      <w:szCs w:val="21"/>
                      <w:highlight w:val="none"/>
                    </w:rPr>
                  </w:pPr>
                  <w:r>
                    <w:rPr>
                      <w:rFonts w:hint="eastAsia"/>
                      <w:color w:val="000000"/>
                      <w:kern w:val="0"/>
                      <w:szCs w:val="21"/>
                      <w:highlight w:val="none"/>
                    </w:rPr>
                    <w:t>符合第一章“招标公告”要求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color w:val="000000"/>
                      <w:highlight w:val="none"/>
                    </w:rPr>
                  </w:pPr>
                  <w:r>
                    <w:rPr>
                      <w:color w:val="000000"/>
                      <w:highlight w:val="none"/>
                    </w:rPr>
                    <w:t>投标货物及技术服务和质保期服务</w:t>
                  </w:r>
                </w:p>
              </w:tc>
              <w:tc>
                <w:tcPr>
                  <w:tcW w:w="3304" w:type="pct"/>
                  <w:noWrap w:val="0"/>
                  <w:tcMar>
                    <w:left w:w="75" w:type="dxa"/>
                  </w:tcMar>
                  <w:vAlign w:val="center"/>
                </w:tcPr>
                <w:p>
                  <w:pPr>
                    <w:widowControl/>
                    <w:rPr>
                      <w:rFonts w:hint="eastAsia"/>
                      <w:color w:val="000000"/>
                      <w:kern w:val="0"/>
                      <w:szCs w:val="21"/>
                      <w:highlight w:val="none"/>
                    </w:rPr>
                  </w:pPr>
                  <w:r>
                    <w:rPr>
                      <w:color w:val="000000"/>
                      <w:highlight w:val="none"/>
                    </w:rPr>
                    <w:t>符合第五章实质性要求和条件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adjustRightInd w:val="0"/>
                    <w:snapToGrid w:val="0"/>
                    <w:jc w:val="center"/>
                    <w:rPr>
                      <w:rFonts w:hint="eastAsia"/>
                      <w:color w:val="000000"/>
                      <w:highlight w:val="none"/>
                    </w:rPr>
                  </w:pPr>
                  <w:r>
                    <w:rPr>
                      <w:color w:val="000000"/>
                      <w:highlight w:val="none"/>
                    </w:rPr>
                    <w:t>技术支持资料</w:t>
                  </w:r>
                </w:p>
              </w:tc>
              <w:tc>
                <w:tcPr>
                  <w:tcW w:w="3304" w:type="pct"/>
                  <w:noWrap w:val="0"/>
                  <w:tcMar>
                    <w:left w:w="75" w:type="dxa"/>
                  </w:tcMar>
                  <w:vAlign w:val="center"/>
                </w:tcPr>
                <w:p>
                  <w:pPr>
                    <w:widowControl/>
                    <w:rPr>
                      <w:rFonts w:hint="eastAsia"/>
                      <w:color w:val="000000"/>
                      <w:kern w:val="0"/>
                      <w:szCs w:val="21"/>
                      <w:highlight w:val="none"/>
                    </w:rPr>
                  </w:pPr>
                  <w:r>
                    <w:rPr>
                      <w:color w:val="000000"/>
                      <w:highlight w:val="none"/>
                    </w:rPr>
                    <w:t>符合第二章</w:t>
                  </w:r>
                  <w:r>
                    <w:rPr>
                      <w:rFonts w:hint="eastAsia"/>
                      <w:kern w:val="0"/>
                      <w:szCs w:val="21"/>
                      <w:highlight w:val="none"/>
                    </w:rPr>
                    <w:t>“投标人须知”</w:t>
                  </w:r>
                  <w:r>
                    <w:rPr>
                      <w:color w:val="000000"/>
                      <w:highlight w:val="none"/>
                    </w:rPr>
                    <w:t>第1.1</w:t>
                  </w:r>
                  <w:r>
                    <w:rPr>
                      <w:rFonts w:hint="eastAsia"/>
                      <w:color w:val="000000"/>
                      <w:highlight w:val="none"/>
                    </w:rPr>
                    <w:t>2</w:t>
                  </w:r>
                  <w:r>
                    <w:rPr>
                      <w:color w:val="000000"/>
                      <w:highlight w:val="none"/>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84" w:type="pct"/>
                  <w:vMerge w:val="continue"/>
                  <w:noWrap w:val="0"/>
                  <w:vAlign w:val="center"/>
                </w:tcPr>
                <w:p>
                  <w:pPr>
                    <w:widowControl/>
                    <w:jc w:val="left"/>
                    <w:rPr>
                      <w:kern w:val="0"/>
                      <w:szCs w:val="21"/>
                      <w:highlight w:val="none"/>
                    </w:rPr>
                  </w:pPr>
                </w:p>
              </w:tc>
              <w:tc>
                <w:tcPr>
                  <w:tcW w:w="482" w:type="pct"/>
                  <w:vMerge w:val="continue"/>
                  <w:noWrap w:val="0"/>
                  <w:vAlign w:val="center"/>
                </w:tcPr>
                <w:p>
                  <w:pPr>
                    <w:widowControl/>
                    <w:jc w:val="left"/>
                    <w:rPr>
                      <w:kern w:val="0"/>
                      <w:szCs w:val="21"/>
                      <w:highlight w:val="none"/>
                    </w:rPr>
                  </w:pPr>
                </w:p>
              </w:tc>
              <w:tc>
                <w:tcPr>
                  <w:tcW w:w="827" w:type="pct"/>
                  <w:noWrap w:val="0"/>
                  <w:tcMar>
                    <w:left w:w="75" w:type="dxa"/>
                  </w:tcMar>
                  <w:vAlign w:val="center"/>
                </w:tcPr>
                <w:p>
                  <w:pPr>
                    <w:widowControl/>
                    <w:jc w:val="center"/>
                    <w:rPr>
                      <w:rFonts w:hint="eastAsia"/>
                      <w:kern w:val="0"/>
                      <w:szCs w:val="21"/>
                      <w:highlight w:val="none"/>
                    </w:rPr>
                  </w:pPr>
                  <w:r>
                    <w:rPr>
                      <w:rFonts w:hint="eastAsia"/>
                      <w:kern w:val="0"/>
                      <w:szCs w:val="21"/>
                      <w:highlight w:val="none"/>
                    </w:rPr>
                    <w:t>其他实质性要求</w:t>
                  </w:r>
                </w:p>
              </w:tc>
              <w:tc>
                <w:tcPr>
                  <w:tcW w:w="3304" w:type="pct"/>
                  <w:noWrap w:val="0"/>
                  <w:tcMar>
                    <w:left w:w="75" w:type="dxa"/>
                  </w:tcMar>
                  <w:vAlign w:val="center"/>
                </w:tcPr>
                <w:p>
                  <w:pPr>
                    <w:widowControl/>
                    <w:jc w:val="left"/>
                    <w:rPr>
                      <w:rFonts w:hint="eastAsia"/>
                      <w:kern w:val="0"/>
                      <w:szCs w:val="21"/>
                      <w:highlight w:val="none"/>
                    </w:rPr>
                  </w:pPr>
                  <w:r>
                    <w:rPr>
                      <w:rFonts w:hint="eastAsia"/>
                      <w:kern w:val="0"/>
                      <w:szCs w:val="21"/>
                      <w:highlight w:val="none"/>
                    </w:rPr>
                    <w:t>投标文件对招标文件的其他实质性要求和条件作出响应</w:t>
                  </w:r>
                </w:p>
              </w:tc>
            </w:tr>
          </w:tbl>
          <w:p>
            <w:pPr>
              <w:keepNext/>
              <w:keepLines/>
              <w:spacing w:before="120" w:after="120" w:line="360" w:lineRule="auto"/>
              <w:jc w:val="center"/>
              <w:outlineLvl w:val="2"/>
              <w:rPr>
                <w:rFonts w:hint="eastAsia" w:eastAsia="黑体"/>
                <w:bCs/>
                <w:sz w:val="24"/>
                <w:highlight w:val="none"/>
              </w:rPr>
            </w:pPr>
            <w:r>
              <w:rPr>
                <w:rFonts w:hint="eastAsia" w:eastAsia="黑体"/>
                <w:bCs/>
                <w:sz w:val="24"/>
                <w:highlight w:val="none"/>
              </w:rPr>
              <w:t>报价文件初步评审标准</w:t>
            </w:r>
          </w:p>
          <w:tbl>
            <w:tblPr>
              <w:tblStyle w:val="15"/>
              <w:tblW w:w="8990" w:type="dxa"/>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60"/>
              <w:gridCol w:w="986"/>
              <w:gridCol w:w="2306"/>
              <w:gridCol w:w="503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40" w:hRule="atLeast"/>
                <w:tblHeader/>
              </w:trPr>
              <w:tc>
                <w:tcPr>
                  <w:tcW w:w="1568" w:type="dxa"/>
                  <w:gridSpan w:val="2"/>
                  <w:tcBorders>
                    <w:top w:val="outset" w:color="auto" w:sz="6" w:space="0"/>
                    <w:left w:val="outset" w:color="auto" w:sz="6" w:space="0"/>
                    <w:bottom w:val="outset" w:color="auto" w:sz="6" w:space="0"/>
                    <w:right w:val="single" w:color="auto" w:sz="4" w:space="0"/>
                  </w:tcBorders>
                  <w:noWrap w:val="0"/>
                  <w:vAlign w:val="center"/>
                </w:tcPr>
                <w:p>
                  <w:pPr>
                    <w:widowControl/>
                    <w:jc w:val="center"/>
                    <w:rPr>
                      <w:kern w:val="0"/>
                      <w:szCs w:val="21"/>
                      <w:highlight w:val="none"/>
                    </w:rPr>
                  </w:pPr>
                  <w:r>
                    <w:rPr>
                      <w:b/>
                      <w:bCs/>
                      <w:kern w:val="0"/>
                      <w:szCs w:val="21"/>
                      <w:highlight w:val="none"/>
                    </w:rPr>
                    <w:t>条款号</w:t>
                  </w:r>
                </w:p>
              </w:tc>
              <w:tc>
                <w:tcPr>
                  <w:tcW w:w="2329" w:type="dxa"/>
                  <w:tcBorders>
                    <w:top w:val="outset" w:color="auto" w:sz="6" w:space="0"/>
                    <w:left w:val="single" w:color="auto" w:sz="4" w:space="0"/>
                    <w:bottom w:val="outset" w:color="auto" w:sz="6" w:space="0"/>
                    <w:right w:val="single" w:color="auto" w:sz="4" w:space="0"/>
                  </w:tcBorders>
                  <w:noWrap w:val="0"/>
                  <w:vAlign w:val="center"/>
                </w:tcPr>
                <w:p>
                  <w:pPr>
                    <w:widowControl/>
                    <w:ind w:firstLine="120" w:firstLineChars="50"/>
                    <w:jc w:val="center"/>
                    <w:rPr>
                      <w:kern w:val="0"/>
                      <w:szCs w:val="21"/>
                      <w:highlight w:val="none"/>
                    </w:rPr>
                  </w:pPr>
                  <w:r>
                    <w:rPr>
                      <w:b/>
                      <w:bCs/>
                      <w:kern w:val="0"/>
                      <w:szCs w:val="21"/>
                      <w:highlight w:val="none"/>
                    </w:rPr>
                    <w:t>评审因素</w:t>
                  </w:r>
                </w:p>
              </w:tc>
              <w:tc>
                <w:tcPr>
                  <w:tcW w:w="5093" w:type="dxa"/>
                  <w:tcBorders>
                    <w:top w:val="outset" w:color="auto" w:sz="6" w:space="0"/>
                    <w:left w:val="single" w:color="auto" w:sz="4" w:space="0"/>
                    <w:bottom w:val="outset" w:color="auto" w:sz="6" w:space="0"/>
                    <w:right w:val="outset" w:color="auto" w:sz="6" w:space="0"/>
                  </w:tcBorders>
                  <w:noWrap w:val="0"/>
                  <w:vAlign w:val="center"/>
                </w:tcPr>
                <w:p>
                  <w:pPr>
                    <w:widowControl/>
                    <w:ind w:firstLine="120" w:firstLineChars="50"/>
                    <w:jc w:val="center"/>
                    <w:rPr>
                      <w:rFonts w:hint="eastAsia"/>
                      <w:kern w:val="0"/>
                      <w:szCs w:val="21"/>
                      <w:highlight w:val="none"/>
                    </w:rPr>
                  </w:pPr>
                  <w:r>
                    <w:rPr>
                      <w:rFonts w:hint="eastAsia"/>
                      <w:b/>
                      <w:bCs/>
                      <w:kern w:val="0"/>
                      <w:szCs w:val="21"/>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kern w:val="0"/>
                      <w:szCs w:val="21"/>
                      <w:highlight w:val="none"/>
                    </w:rPr>
                  </w:pPr>
                  <w:r>
                    <w:rPr>
                      <w:bCs/>
                      <w:kern w:val="0"/>
                      <w:szCs w:val="21"/>
                      <w:highlight w:val="none"/>
                    </w:rPr>
                    <w:t>2.1</w:t>
                  </w:r>
                  <w:r>
                    <w:rPr>
                      <w:rFonts w:hint="eastAsia"/>
                      <w:bCs/>
                      <w:kern w:val="0"/>
                      <w:szCs w:val="21"/>
                      <w:highlight w:val="none"/>
                    </w:rPr>
                    <w:t>.1</w:t>
                  </w:r>
                </w:p>
              </w:tc>
              <w:tc>
                <w:tcPr>
                  <w:tcW w:w="993" w:type="dxa"/>
                  <w:vMerge w:val="restart"/>
                  <w:tcBorders>
                    <w:top w:val="outset" w:color="auto" w:sz="6" w:space="0"/>
                    <w:left w:val="outset" w:color="auto" w:sz="6" w:space="0"/>
                    <w:bottom w:val="outset" w:color="auto" w:sz="6" w:space="0"/>
                    <w:right w:val="single" w:color="auto" w:sz="4" w:space="0"/>
                  </w:tcBorders>
                  <w:noWrap w:val="0"/>
                  <w:vAlign w:val="center"/>
                </w:tcPr>
                <w:p>
                  <w:pPr>
                    <w:widowControl/>
                    <w:jc w:val="center"/>
                    <w:rPr>
                      <w:kern w:val="0"/>
                      <w:szCs w:val="21"/>
                      <w:highlight w:val="none"/>
                    </w:rPr>
                  </w:pPr>
                  <w:r>
                    <w:rPr>
                      <w:bCs/>
                      <w:kern w:val="0"/>
                      <w:szCs w:val="21"/>
                      <w:highlight w:val="none"/>
                    </w:rPr>
                    <w:t>形式评审标准</w:t>
                  </w:r>
                </w:p>
              </w:tc>
              <w:tc>
                <w:tcPr>
                  <w:tcW w:w="2329"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spacing w:line="440" w:lineRule="exact"/>
                    <w:jc w:val="center"/>
                    <w:rPr>
                      <w:color w:val="000000"/>
                      <w:highlight w:val="none"/>
                    </w:rPr>
                  </w:pPr>
                  <w:r>
                    <w:rPr>
                      <w:color w:val="000000"/>
                      <w:highlight w:val="none"/>
                    </w:rPr>
                    <w:t>投标人名称</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spacing w:line="440" w:lineRule="exact"/>
                    <w:rPr>
                      <w:rFonts w:hint="eastAsia"/>
                      <w:color w:val="000000"/>
                      <w:highlight w:val="none"/>
                    </w:rPr>
                  </w:pPr>
                  <w:r>
                    <w:rPr>
                      <w:color w:val="000000"/>
                      <w:highlight w:val="none"/>
                    </w:rPr>
                    <w:t>与营业执照、资质证书一致</w:t>
                  </w:r>
                </w:p>
                <w:p>
                  <w:pPr>
                    <w:spacing w:line="440" w:lineRule="exact"/>
                    <w:rPr>
                      <w:color w:val="000000"/>
                      <w:highlight w:val="none"/>
                    </w:rPr>
                  </w:pPr>
                  <w:r>
                    <w:rPr>
                      <w:rFonts w:hint="eastAsia"/>
                      <w:color w:val="000000"/>
                      <w:highlight w:val="none"/>
                    </w:rPr>
                    <w:t>名称变更的，应当提供证书颁发等单位提供的变更说明</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kern w:val="0"/>
                      <w:szCs w:val="21"/>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jc w:val="center"/>
                    <w:rPr>
                      <w:kern w:val="0"/>
                      <w:szCs w:val="21"/>
                      <w:highlight w:val="none"/>
                    </w:rPr>
                  </w:pPr>
                </w:p>
              </w:tc>
              <w:tc>
                <w:tcPr>
                  <w:tcW w:w="2329"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jc w:val="center"/>
                    <w:rPr>
                      <w:kern w:val="0"/>
                      <w:szCs w:val="21"/>
                      <w:highlight w:val="none"/>
                    </w:rPr>
                  </w:pPr>
                  <w:r>
                    <w:rPr>
                      <w:rFonts w:hint="eastAsia"/>
                      <w:highlight w:val="none"/>
                    </w:rPr>
                    <w:t>投标文件格式</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rFonts w:hint="eastAsia"/>
                      <w:color w:val="000000"/>
                      <w:kern w:val="0"/>
                      <w:szCs w:val="21"/>
                      <w:highlight w:val="none"/>
                    </w:rPr>
                  </w:pPr>
                  <w:r>
                    <w:rPr>
                      <w:rFonts w:hint="eastAsia"/>
                      <w:color w:val="000000"/>
                      <w:kern w:val="0"/>
                      <w:szCs w:val="21"/>
                      <w:highlight w:val="none"/>
                    </w:rPr>
                    <w:t>（1）报价文件文件可以正常</w:t>
                  </w:r>
                  <w:r>
                    <w:rPr>
                      <w:color w:val="000000"/>
                      <w:kern w:val="0"/>
                      <w:szCs w:val="21"/>
                      <w:highlight w:val="none"/>
                    </w:rPr>
                    <w:t>读取</w:t>
                  </w:r>
                  <w:r>
                    <w:rPr>
                      <w:rFonts w:hint="eastAsia"/>
                      <w:color w:val="000000"/>
                      <w:kern w:val="0"/>
                      <w:szCs w:val="21"/>
                      <w:highlight w:val="none"/>
                    </w:rPr>
                    <w:t>；</w:t>
                  </w:r>
                </w:p>
                <w:p>
                  <w:pPr>
                    <w:widowControl/>
                    <w:jc w:val="left"/>
                    <w:rPr>
                      <w:rFonts w:hint="eastAsia"/>
                      <w:color w:val="000000"/>
                      <w:kern w:val="0"/>
                      <w:szCs w:val="21"/>
                      <w:highlight w:val="none"/>
                    </w:rPr>
                  </w:pPr>
                  <w:r>
                    <w:rPr>
                      <w:rFonts w:hint="eastAsia"/>
                      <w:color w:val="000000"/>
                      <w:kern w:val="0"/>
                      <w:szCs w:val="21"/>
                      <w:highlight w:val="none"/>
                    </w:rPr>
                    <w:t>（2）符合第六章“投标文件格式”的规定，</w:t>
                  </w:r>
                  <w:r>
                    <w:rPr>
                      <w:color w:val="000000"/>
                      <w:kern w:val="0"/>
                      <w:szCs w:val="21"/>
                      <w:highlight w:val="none"/>
                    </w:rPr>
                    <w:t>关键字迹</w:t>
                  </w:r>
                  <w:r>
                    <w:rPr>
                      <w:rFonts w:hint="eastAsia"/>
                      <w:color w:val="000000"/>
                      <w:kern w:val="0"/>
                      <w:szCs w:val="21"/>
                      <w:highlight w:val="none"/>
                    </w:rPr>
                    <w:t>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kern w:val="0"/>
                      <w:szCs w:val="21"/>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jc w:val="center"/>
                    <w:rPr>
                      <w:kern w:val="0"/>
                      <w:szCs w:val="21"/>
                      <w:highlight w:val="none"/>
                    </w:rPr>
                  </w:pPr>
                </w:p>
              </w:tc>
              <w:tc>
                <w:tcPr>
                  <w:tcW w:w="2329"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jc w:val="center"/>
                    <w:rPr>
                      <w:rFonts w:hint="eastAsia"/>
                      <w:highlight w:val="none"/>
                    </w:rPr>
                  </w:pPr>
                  <w:r>
                    <w:rPr>
                      <w:rFonts w:hint="eastAsia"/>
                      <w:kern w:val="0"/>
                      <w:szCs w:val="21"/>
                      <w:highlight w:val="none"/>
                    </w:rPr>
                    <w:t>备选投标方案</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rFonts w:hint="eastAsia"/>
                      <w:color w:val="000000"/>
                      <w:kern w:val="0"/>
                      <w:szCs w:val="21"/>
                      <w:highlight w:val="none"/>
                    </w:rPr>
                  </w:pPr>
                  <w:r>
                    <w:rPr>
                      <w:rFonts w:hint="eastAsia"/>
                      <w:kern w:val="0"/>
                      <w:szCs w:val="21"/>
                      <w:highlight w:val="none"/>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kern w:val="0"/>
                      <w:szCs w:val="21"/>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jc w:val="center"/>
                    <w:rPr>
                      <w:kern w:val="0"/>
                      <w:szCs w:val="21"/>
                      <w:highlight w:val="none"/>
                    </w:rPr>
                  </w:pPr>
                </w:p>
              </w:tc>
              <w:tc>
                <w:tcPr>
                  <w:tcW w:w="2329"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jc w:val="center"/>
                    <w:rPr>
                      <w:rFonts w:hint="eastAsia"/>
                      <w:kern w:val="0"/>
                      <w:szCs w:val="21"/>
                      <w:highlight w:val="none"/>
                    </w:rPr>
                  </w:pPr>
                  <w:r>
                    <w:rPr>
                      <w:rFonts w:hint="eastAsia"/>
                      <w:kern w:val="0"/>
                      <w:szCs w:val="21"/>
                      <w:highlight w:val="none"/>
                    </w:rPr>
                    <w:t>签字盖章</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rFonts w:hint="eastAsia"/>
                      <w:color w:val="000000"/>
                      <w:kern w:val="0"/>
                      <w:szCs w:val="21"/>
                      <w:highlight w:val="none"/>
                    </w:rPr>
                  </w:pPr>
                  <w:r>
                    <w:rPr>
                      <w:rFonts w:hint="eastAsia"/>
                      <w:color w:val="000000"/>
                      <w:kern w:val="0"/>
                      <w:szCs w:val="21"/>
                      <w:highlight w:val="none"/>
                    </w:rPr>
                    <w:t>符合</w:t>
                  </w:r>
                  <w:r>
                    <w:rPr>
                      <w:color w:val="000000"/>
                      <w:kern w:val="0"/>
                      <w:szCs w:val="21"/>
                      <w:highlight w:val="none"/>
                    </w:rPr>
                    <w:t>第六章</w:t>
                  </w:r>
                  <w:r>
                    <w:rPr>
                      <w:rFonts w:hint="eastAsia"/>
                      <w:color w:val="000000"/>
                      <w:kern w:val="0"/>
                      <w:szCs w:val="21"/>
                      <w:highlight w:val="none"/>
                    </w:rPr>
                    <w:t>“</w:t>
                  </w:r>
                  <w:r>
                    <w:rPr>
                      <w:color w:val="000000"/>
                      <w:kern w:val="0"/>
                      <w:szCs w:val="21"/>
                      <w:highlight w:val="none"/>
                    </w:rPr>
                    <w:t>投标文件格式</w:t>
                  </w:r>
                  <w:r>
                    <w:rPr>
                      <w:rFonts w:hint="eastAsia"/>
                      <w:color w:val="000000"/>
                      <w:kern w:val="0"/>
                      <w:szCs w:val="21"/>
                      <w:highlight w:val="none"/>
                    </w:rPr>
                    <w:t>”的规定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kern w:val="0"/>
                      <w:szCs w:val="21"/>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jc w:val="center"/>
                    <w:rPr>
                      <w:kern w:val="0"/>
                      <w:szCs w:val="21"/>
                      <w:highlight w:val="none"/>
                    </w:rPr>
                  </w:pPr>
                </w:p>
              </w:tc>
              <w:tc>
                <w:tcPr>
                  <w:tcW w:w="2329"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jc w:val="center"/>
                    <w:rPr>
                      <w:rFonts w:hint="eastAsia"/>
                      <w:kern w:val="0"/>
                      <w:szCs w:val="21"/>
                      <w:highlight w:val="none"/>
                    </w:rPr>
                  </w:pPr>
                  <w:r>
                    <w:rPr>
                      <w:rFonts w:hint="eastAsia"/>
                      <w:kern w:val="0"/>
                      <w:szCs w:val="21"/>
                      <w:highlight w:val="none"/>
                    </w:rPr>
                    <w:t>未出现异常情形</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kern w:val="0"/>
                      <w:szCs w:val="21"/>
                      <w:highlight w:val="none"/>
                    </w:rPr>
                  </w:pPr>
                  <w:r>
                    <w:rPr>
                      <w:rFonts w:hint="eastAsia"/>
                      <w:highlight w:val="none"/>
                    </w:rPr>
                    <w:t>不同投标人未出现使用相同的机器识别码进行投标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restart"/>
                  <w:tcBorders>
                    <w:top w:val="single" w:color="auto" w:sz="4" w:space="0"/>
                    <w:left w:val="outset" w:color="auto" w:sz="6" w:space="0"/>
                    <w:bottom w:val="outset" w:color="auto" w:sz="6" w:space="0"/>
                    <w:right w:val="outset" w:color="auto" w:sz="6" w:space="0"/>
                  </w:tcBorders>
                  <w:noWrap w:val="0"/>
                  <w:vAlign w:val="center"/>
                </w:tcPr>
                <w:p>
                  <w:pPr>
                    <w:jc w:val="center"/>
                    <w:rPr>
                      <w:kern w:val="0"/>
                      <w:szCs w:val="21"/>
                      <w:highlight w:val="none"/>
                    </w:rPr>
                  </w:pPr>
                  <w:r>
                    <w:rPr>
                      <w:rFonts w:hint="eastAsia"/>
                      <w:bCs/>
                      <w:kern w:val="0"/>
                      <w:szCs w:val="21"/>
                      <w:highlight w:val="none"/>
                    </w:rPr>
                    <w:t>2.1.3</w:t>
                  </w:r>
                </w:p>
              </w:tc>
              <w:tc>
                <w:tcPr>
                  <w:tcW w:w="993" w:type="dxa"/>
                  <w:vMerge w:val="restart"/>
                  <w:tcBorders>
                    <w:top w:val="single" w:color="auto" w:sz="4" w:space="0"/>
                    <w:left w:val="outset" w:color="auto" w:sz="6" w:space="0"/>
                    <w:bottom w:val="outset" w:color="auto" w:sz="6" w:space="0"/>
                    <w:right w:val="single" w:color="auto" w:sz="4" w:space="0"/>
                  </w:tcBorders>
                  <w:noWrap w:val="0"/>
                  <w:vAlign w:val="center"/>
                </w:tcPr>
                <w:p>
                  <w:pPr>
                    <w:jc w:val="center"/>
                    <w:rPr>
                      <w:kern w:val="0"/>
                      <w:szCs w:val="21"/>
                      <w:highlight w:val="none"/>
                    </w:rPr>
                  </w:pPr>
                  <w:r>
                    <w:rPr>
                      <w:rFonts w:hint="eastAsia"/>
                      <w:bCs/>
                      <w:kern w:val="0"/>
                      <w:szCs w:val="21"/>
                      <w:highlight w:val="none"/>
                    </w:rPr>
                    <w:t>响应性评审标准</w:t>
                  </w:r>
                </w:p>
              </w:tc>
              <w:tc>
                <w:tcPr>
                  <w:tcW w:w="2329"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widowControl/>
                    <w:jc w:val="center"/>
                    <w:rPr>
                      <w:rFonts w:hint="eastAsia"/>
                      <w:kern w:val="0"/>
                      <w:szCs w:val="21"/>
                      <w:highlight w:val="none"/>
                    </w:rPr>
                  </w:pPr>
                  <w:r>
                    <w:rPr>
                      <w:rFonts w:hint="eastAsia"/>
                      <w:kern w:val="0"/>
                      <w:szCs w:val="21"/>
                      <w:highlight w:val="none"/>
                    </w:rPr>
                    <w:t>投标内容</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rFonts w:hint="eastAsia"/>
                      <w:kern w:val="0"/>
                      <w:szCs w:val="21"/>
                      <w:highlight w:val="none"/>
                    </w:rPr>
                  </w:pPr>
                  <w:r>
                    <w:rPr>
                      <w:rFonts w:hint="eastAsia"/>
                      <w:kern w:val="0"/>
                      <w:szCs w:val="21"/>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trPr>
              <w:tc>
                <w:tcPr>
                  <w:tcW w:w="575" w:type="dxa"/>
                  <w:vMerge w:val="continue"/>
                  <w:tcBorders>
                    <w:top w:val="single" w:color="auto" w:sz="4" w:space="0"/>
                    <w:left w:val="outset" w:color="auto" w:sz="6" w:space="0"/>
                    <w:bottom w:val="outset" w:color="auto" w:sz="6" w:space="0"/>
                    <w:right w:val="outset" w:color="auto" w:sz="6" w:space="0"/>
                  </w:tcBorders>
                  <w:noWrap w:val="0"/>
                  <w:vAlign w:val="center"/>
                </w:tcPr>
                <w:p>
                  <w:pPr>
                    <w:jc w:val="center"/>
                    <w:rPr>
                      <w:rFonts w:hint="eastAsia"/>
                      <w:bCs/>
                      <w:kern w:val="0"/>
                      <w:szCs w:val="21"/>
                      <w:highlight w:val="none"/>
                    </w:rPr>
                  </w:pPr>
                </w:p>
              </w:tc>
              <w:tc>
                <w:tcPr>
                  <w:tcW w:w="993" w:type="dxa"/>
                  <w:vMerge w:val="continue"/>
                  <w:tcBorders>
                    <w:top w:val="single" w:color="auto" w:sz="4" w:space="0"/>
                    <w:left w:val="outset" w:color="auto" w:sz="6" w:space="0"/>
                    <w:bottom w:val="outset" w:color="auto" w:sz="6" w:space="0"/>
                    <w:right w:val="single" w:color="auto" w:sz="4" w:space="0"/>
                  </w:tcBorders>
                  <w:noWrap w:val="0"/>
                  <w:vAlign w:val="center"/>
                </w:tcPr>
                <w:p>
                  <w:pPr>
                    <w:jc w:val="center"/>
                    <w:rPr>
                      <w:rFonts w:hint="eastAsia"/>
                      <w:bCs/>
                      <w:kern w:val="0"/>
                      <w:szCs w:val="21"/>
                      <w:highlight w:val="none"/>
                    </w:rPr>
                  </w:pPr>
                </w:p>
              </w:tc>
              <w:tc>
                <w:tcPr>
                  <w:tcW w:w="2329" w:type="dxa"/>
                  <w:tcBorders>
                    <w:top w:val="single" w:color="auto" w:sz="4" w:space="0"/>
                    <w:left w:val="single" w:color="auto" w:sz="4" w:space="0"/>
                    <w:bottom w:val="outset" w:color="auto" w:sz="6" w:space="0"/>
                    <w:right w:val="outset" w:color="auto" w:sz="6" w:space="0"/>
                  </w:tcBorders>
                  <w:noWrap w:val="0"/>
                  <w:tcMar>
                    <w:left w:w="75" w:type="dxa"/>
                  </w:tcMar>
                  <w:vAlign w:val="center"/>
                </w:tcPr>
                <w:p>
                  <w:pPr>
                    <w:spacing w:line="440" w:lineRule="exact"/>
                    <w:jc w:val="center"/>
                    <w:rPr>
                      <w:color w:val="000000"/>
                      <w:highlight w:val="none"/>
                    </w:rPr>
                  </w:pPr>
                  <w:r>
                    <w:rPr>
                      <w:color w:val="000000"/>
                      <w:highlight w:val="none"/>
                    </w:rPr>
                    <w:t>投标报价</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kern w:val="0"/>
                      <w:szCs w:val="21"/>
                      <w:highlight w:val="none"/>
                    </w:rPr>
                  </w:pPr>
                  <w:r>
                    <w:rPr>
                      <w:kern w:val="0"/>
                      <w:szCs w:val="21"/>
                      <w:highlight w:val="none"/>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510" w:hRule="atLeast"/>
              </w:trPr>
              <w:tc>
                <w:tcPr>
                  <w:tcW w:w="575"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kern w:val="0"/>
                      <w:szCs w:val="21"/>
                      <w:highlight w:val="none"/>
                    </w:rPr>
                  </w:pPr>
                </w:p>
              </w:tc>
              <w:tc>
                <w:tcPr>
                  <w:tcW w:w="993" w:type="dxa"/>
                  <w:vMerge w:val="continue"/>
                  <w:tcBorders>
                    <w:top w:val="outset" w:color="auto" w:sz="6" w:space="0"/>
                    <w:left w:val="outset" w:color="auto" w:sz="6" w:space="0"/>
                    <w:bottom w:val="outset" w:color="auto" w:sz="6" w:space="0"/>
                    <w:right w:val="single" w:color="auto" w:sz="4" w:space="0"/>
                  </w:tcBorders>
                  <w:noWrap w:val="0"/>
                  <w:vAlign w:val="center"/>
                </w:tcPr>
                <w:p>
                  <w:pPr>
                    <w:widowControl/>
                    <w:jc w:val="left"/>
                    <w:rPr>
                      <w:kern w:val="0"/>
                      <w:szCs w:val="21"/>
                      <w:highlight w:val="none"/>
                    </w:rPr>
                  </w:pPr>
                </w:p>
              </w:tc>
              <w:tc>
                <w:tcPr>
                  <w:tcW w:w="2329" w:type="dxa"/>
                  <w:tcBorders>
                    <w:top w:val="outset" w:color="auto" w:sz="6" w:space="0"/>
                    <w:left w:val="single" w:color="auto" w:sz="4" w:space="0"/>
                    <w:bottom w:val="outset" w:color="auto" w:sz="6" w:space="0"/>
                    <w:right w:val="outset" w:color="auto" w:sz="6" w:space="0"/>
                  </w:tcBorders>
                  <w:noWrap w:val="0"/>
                  <w:tcMar>
                    <w:left w:w="75" w:type="dxa"/>
                  </w:tcMar>
                  <w:vAlign w:val="center"/>
                </w:tcPr>
                <w:p>
                  <w:pPr>
                    <w:widowControl/>
                    <w:ind w:left="-55" w:leftChars="-27"/>
                    <w:jc w:val="center"/>
                    <w:rPr>
                      <w:color w:val="000000"/>
                      <w:kern w:val="0"/>
                      <w:szCs w:val="21"/>
                      <w:highlight w:val="none"/>
                    </w:rPr>
                  </w:pPr>
                  <w:r>
                    <w:rPr>
                      <w:color w:val="000000"/>
                      <w:kern w:val="0"/>
                      <w:szCs w:val="21"/>
                      <w:highlight w:val="none"/>
                    </w:rPr>
                    <w:t>其它情形</w:t>
                  </w:r>
                </w:p>
              </w:tc>
              <w:tc>
                <w:tcPr>
                  <w:tcW w:w="5093" w:type="dxa"/>
                  <w:tcBorders>
                    <w:top w:val="outset" w:color="auto" w:sz="6" w:space="0"/>
                    <w:left w:val="outset" w:color="auto" w:sz="6" w:space="0"/>
                    <w:bottom w:val="outset" w:color="auto" w:sz="6" w:space="0"/>
                    <w:right w:val="outset" w:color="auto" w:sz="6" w:space="0"/>
                  </w:tcBorders>
                  <w:noWrap w:val="0"/>
                  <w:tcMar>
                    <w:left w:w="75" w:type="dxa"/>
                  </w:tcMar>
                  <w:vAlign w:val="center"/>
                </w:tcPr>
                <w:p>
                  <w:pPr>
                    <w:widowControl/>
                    <w:jc w:val="left"/>
                    <w:rPr>
                      <w:rFonts w:hint="eastAsia"/>
                      <w:kern w:val="0"/>
                      <w:szCs w:val="21"/>
                      <w:highlight w:val="none"/>
                    </w:rPr>
                  </w:pPr>
                  <w:r>
                    <w:rPr>
                      <w:kern w:val="0"/>
                      <w:szCs w:val="21"/>
                      <w:highlight w:val="none"/>
                    </w:rPr>
                    <w:t>投标文件中</w:t>
                  </w:r>
                  <w:r>
                    <w:rPr>
                      <w:rFonts w:hint="eastAsia"/>
                      <w:kern w:val="0"/>
                      <w:szCs w:val="21"/>
                      <w:highlight w:val="none"/>
                    </w:rPr>
                    <w:t>不得</w:t>
                  </w:r>
                  <w:r>
                    <w:rPr>
                      <w:kern w:val="0"/>
                      <w:szCs w:val="21"/>
                      <w:highlight w:val="none"/>
                    </w:rPr>
                    <w:t>存在招标人不能接受的其它实质性条件</w:t>
                  </w:r>
                </w:p>
              </w:tc>
            </w:tr>
          </w:tbl>
          <w:p>
            <w:pPr>
              <w:keepNext/>
              <w:keepLines/>
              <w:spacing w:before="120" w:after="120" w:line="360" w:lineRule="auto"/>
              <w:jc w:val="center"/>
              <w:outlineLvl w:val="2"/>
              <w:rPr>
                <w:rFonts w:eastAsia="黑体"/>
                <w:color w:val="000000"/>
                <w:sz w:val="24"/>
                <w:highlight w:val="none"/>
              </w:rPr>
            </w:pPr>
            <w:r>
              <w:rPr>
                <w:rFonts w:hint="eastAsia" w:eastAsia="黑体"/>
                <w:bCs/>
                <w:sz w:val="24"/>
                <w:highlight w:val="none"/>
              </w:rPr>
              <w:t>商务及技术文件、报价文件详细评审标准</w:t>
            </w:r>
          </w:p>
          <w:tbl>
            <w:tblPr>
              <w:tblStyle w:val="15"/>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6"/>
              <w:gridCol w:w="1194"/>
              <w:gridCol w:w="821"/>
              <w:gridCol w:w="1149"/>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008" w:type="pct"/>
                  <w:gridSpan w:val="2"/>
                  <w:noWrap w:val="0"/>
                  <w:vAlign w:val="center"/>
                </w:tcPr>
                <w:p>
                  <w:pPr>
                    <w:snapToGrid w:val="0"/>
                    <w:jc w:val="center"/>
                    <w:rPr>
                      <w:b/>
                      <w:bCs/>
                      <w:kern w:val="0"/>
                      <w:szCs w:val="21"/>
                      <w:highlight w:val="none"/>
                    </w:rPr>
                  </w:pPr>
                  <w:r>
                    <w:rPr>
                      <w:b/>
                      <w:bCs/>
                      <w:kern w:val="0"/>
                      <w:szCs w:val="21"/>
                      <w:highlight w:val="none"/>
                    </w:rPr>
                    <w:t>条款号</w:t>
                  </w:r>
                </w:p>
              </w:tc>
              <w:tc>
                <w:tcPr>
                  <w:tcW w:w="416" w:type="pct"/>
                  <w:noWrap w:val="0"/>
                  <w:tcMar>
                    <w:left w:w="75" w:type="dxa"/>
                  </w:tcMar>
                  <w:vAlign w:val="center"/>
                </w:tcPr>
                <w:p>
                  <w:pPr>
                    <w:snapToGrid w:val="0"/>
                    <w:jc w:val="center"/>
                    <w:rPr>
                      <w:b/>
                      <w:bCs/>
                      <w:kern w:val="0"/>
                      <w:szCs w:val="21"/>
                      <w:highlight w:val="none"/>
                    </w:rPr>
                  </w:pPr>
                  <w:r>
                    <w:rPr>
                      <w:b/>
                      <w:bCs/>
                      <w:kern w:val="0"/>
                      <w:szCs w:val="21"/>
                      <w:highlight w:val="none"/>
                    </w:rPr>
                    <w:t>评分因素</w:t>
                  </w:r>
                </w:p>
              </w:tc>
              <w:tc>
                <w:tcPr>
                  <w:tcW w:w="582" w:type="pct"/>
                  <w:noWrap w:val="0"/>
                  <w:vAlign w:val="center"/>
                </w:tcPr>
                <w:p>
                  <w:pPr>
                    <w:snapToGrid w:val="0"/>
                    <w:jc w:val="center"/>
                    <w:rPr>
                      <w:b/>
                      <w:bCs/>
                      <w:kern w:val="0"/>
                      <w:szCs w:val="21"/>
                      <w:highlight w:val="none"/>
                    </w:rPr>
                  </w:pPr>
                  <w:r>
                    <w:rPr>
                      <w:rFonts w:hint="eastAsia"/>
                      <w:b/>
                      <w:bCs/>
                      <w:kern w:val="0"/>
                      <w:szCs w:val="21"/>
                      <w:highlight w:val="none"/>
                    </w:rPr>
                    <w:t>评分因素权重分值</w:t>
                  </w:r>
                </w:p>
              </w:tc>
              <w:tc>
                <w:tcPr>
                  <w:tcW w:w="2992" w:type="pct"/>
                  <w:noWrap w:val="0"/>
                  <w:vAlign w:val="center"/>
                </w:tcPr>
                <w:p>
                  <w:pPr>
                    <w:snapToGrid w:val="0"/>
                    <w:jc w:val="center"/>
                    <w:rPr>
                      <w:b/>
                      <w:bCs/>
                      <w:kern w:val="0"/>
                      <w:szCs w:val="21"/>
                      <w:highlight w:val="none"/>
                    </w:rPr>
                  </w:pPr>
                  <w:r>
                    <w:rPr>
                      <w:b/>
                      <w:bCs/>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6" w:hRule="atLeast"/>
              </w:trPr>
              <w:tc>
                <w:tcPr>
                  <w:tcW w:w="403" w:type="pct"/>
                  <w:vMerge w:val="restart"/>
                  <w:noWrap w:val="0"/>
                  <w:vAlign w:val="center"/>
                </w:tcPr>
                <w:p>
                  <w:pPr>
                    <w:jc w:val="center"/>
                    <w:rPr>
                      <w:color w:val="auto"/>
                      <w:szCs w:val="21"/>
                      <w:highlight w:val="none"/>
                    </w:rPr>
                  </w:pPr>
                  <w:r>
                    <w:rPr>
                      <w:color w:val="auto"/>
                      <w:szCs w:val="21"/>
                      <w:highlight w:val="none"/>
                    </w:rPr>
                    <w:t>2.2.</w:t>
                  </w:r>
                  <w:r>
                    <w:rPr>
                      <w:rFonts w:hint="eastAsia"/>
                      <w:color w:val="auto"/>
                      <w:szCs w:val="21"/>
                      <w:highlight w:val="none"/>
                    </w:rPr>
                    <w:t>3</w:t>
                  </w:r>
                  <w:r>
                    <w:rPr>
                      <w:color w:val="auto"/>
                      <w:szCs w:val="21"/>
                      <w:highlight w:val="none"/>
                    </w:rPr>
                    <w:t>（1）</w:t>
                  </w:r>
                </w:p>
              </w:tc>
              <w:tc>
                <w:tcPr>
                  <w:tcW w:w="604" w:type="pct"/>
                  <w:vMerge w:val="restart"/>
                  <w:noWrap w:val="0"/>
                  <w:vAlign w:val="center"/>
                </w:tcPr>
                <w:p>
                  <w:pPr>
                    <w:jc w:val="center"/>
                    <w:rPr>
                      <w:color w:val="auto"/>
                      <w:szCs w:val="21"/>
                      <w:highlight w:val="none"/>
                    </w:rPr>
                  </w:pPr>
                  <w:r>
                    <w:rPr>
                      <w:color w:val="auto"/>
                      <w:szCs w:val="21"/>
                      <w:highlight w:val="none"/>
                    </w:rPr>
                    <w:t>商务评分标准</w:t>
                  </w:r>
                </w:p>
              </w:tc>
              <w:tc>
                <w:tcPr>
                  <w:tcW w:w="416" w:type="pct"/>
                  <w:noWrap w:val="0"/>
                  <w:tcMar>
                    <w:left w:w="75" w:type="dxa"/>
                  </w:tcMar>
                  <w:vAlign w:val="center"/>
                </w:tcPr>
                <w:p>
                  <w:pPr>
                    <w:jc w:val="center"/>
                    <w:rPr>
                      <w:rFonts w:hint="eastAsia"/>
                      <w:color w:val="auto"/>
                      <w:szCs w:val="21"/>
                      <w:highlight w:val="none"/>
                    </w:rPr>
                  </w:pPr>
                  <w:r>
                    <w:rPr>
                      <w:rFonts w:hint="eastAsia"/>
                      <w:color w:val="auto"/>
                      <w:szCs w:val="21"/>
                      <w:highlight w:val="none"/>
                    </w:rPr>
                    <w:t>投标人业绩</w:t>
                  </w:r>
                </w:p>
              </w:tc>
              <w:tc>
                <w:tcPr>
                  <w:tcW w:w="582" w:type="pct"/>
                  <w:noWrap w:val="0"/>
                  <w:vAlign w:val="center"/>
                </w:tcPr>
                <w:p>
                  <w:pPr>
                    <w:spacing w:line="360" w:lineRule="auto"/>
                    <w:jc w:val="center"/>
                    <w:rPr>
                      <w:rFonts w:hint="eastAsia" w:ascii="宋体" w:hAnsi="宋体" w:cs="宋体"/>
                      <w:color w:val="auto"/>
                      <w:kern w:val="10"/>
                      <w:szCs w:val="21"/>
                      <w:highlight w:val="none"/>
                      <w:u w:val="single"/>
                    </w:rPr>
                  </w:pPr>
                  <w:r>
                    <w:rPr>
                      <w:rFonts w:hint="eastAsia" w:ascii="宋体" w:hAnsi="宋体" w:cs="宋体"/>
                      <w:color w:val="auto"/>
                      <w:kern w:val="10"/>
                      <w:szCs w:val="21"/>
                      <w:highlight w:val="none"/>
                      <w:u w:val="single"/>
                      <w:lang w:val="en-US" w:eastAsia="zh-CN"/>
                    </w:rPr>
                    <w:t>12</w:t>
                  </w:r>
                  <w:r>
                    <w:rPr>
                      <w:rFonts w:hint="eastAsia" w:ascii="宋体" w:hAnsi="宋体" w:cs="宋体"/>
                      <w:color w:val="auto"/>
                      <w:kern w:val="10"/>
                      <w:szCs w:val="21"/>
                      <w:highlight w:val="none"/>
                    </w:rPr>
                    <w:t>分</w:t>
                  </w:r>
                </w:p>
              </w:tc>
              <w:tc>
                <w:tcPr>
                  <w:tcW w:w="2992" w:type="pct"/>
                  <w:noWrap w:val="0"/>
                  <w:vAlign w:val="center"/>
                </w:tcPr>
                <w:p>
                  <w:pPr>
                    <w:spacing w:line="360" w:lineRule="auto"/>
                    <w:rPr>
                      <w:rFonts w:hint="eastAsia" w:ascii="宋体" w:hAnsi="宋体" w:cs="宋体"/>
                      <w:color w:val="auto"/>
                      <w:kern w:val="10"/>
                      <w:szCs w:val="21"/>
                      <w:highlight w:val="none"/>
                      <w:lang w:eastAsia="zh-CN"/>
                    </w:rPr>
                  </w:pPr>
                  <w:r>
                    <w:rPr>
                      <w:rFonts w:hint="eastAsia" w:ascii="宋体" w:hAnsi="宋体" w:cs="宋体"/>
                      <w:color w:val="auto"/>
                      <w:kern w:val="10"/>
                      <w:szCs w:val="21"/>
                      <w:highlight w:val="none"/>
                    </w:rPr>
                    <w:t>201</w:t>
                  </w:r>
                  <w:r>
                    <w:rPr>
                      <w:rFonts w:hint="eastAsia" w:ascii="宋体" w:hAnsi="宋体" w:eastAsia="宋体" w:cs="宋体"/>
                      <w:color w:val="auto"/>
                      <w:kern w:val="10"/>
                      <w:szCs w:val="21"/>
                      <w:highlight w:val="none"/>
                      <w:lang w:val="en-US" w:eastAsia="zh-CN"/>
                    </w:rPr>
                    <w:t>9</w:t>
                  </w:r>
                  <w:r>
                    <w:rPr>
                      <w:rFonts w:hint="eastAsia" w:ascii="宋体" w:hAnsi="宋体" w:cs="宋体"/>
                      <w:color w:val="auto"/>
                      <w:kern w:val="10"/>
                      <w:szCs w:val="21"/>
                      <w:highlight w:val="none"/>
                    </w:rPr>
                    <w:t>年1月1日（以合同签订时间为准）以来，投标人具有</w:t>
                  </w:r>
                  <w:r>
                    <w:rPr>
                      <w:rFonts w:hint="eastAsia" w:ascii="宋体" w:hAnsi="宋体" w:eastAsia="宋体" w:cs="宋体"/>
                      <w:color w:val="auto"/>
                      <w:kern w:val="10"/>
                      <w:szCs w:val="21"/>
                      <w:highlight w:val="none"/>
                      <w:lang w:eastAsia="zh-CN"/>
                    </w:rPr>
                    <w:t>县直单位以上</w:t>
                  </w:r>
                  <w:r>
                    <w:rPr>
                      <w:rFonts w:hint="eastAsia" w:ascii="宋体" w:hAnsi="宋体" w:eastAsia="宋体" w:cs="宋体"/>
                      <w:color w:val="auto"/>
                      <w:kern w:val="10"/>
                      <w:szCs w:val="21"/>
                      <w:highlight w:val="none"/>
                      <w:lang w:val="en-US" w:eastAsia="zh-CN"/>
                    </w:rPr>
                    <w:t>(含县直单位）</w:t>
                  </w:r>
                  <w:r>
                    <w:rPr>
                      <w:rFonts w:hint="eastAsia" w:ascii="宋体" w:hAnsi="宋体" w:eastAsia="宋体" w:cs="宋体"/>
                      <w:color w:val="auto"/>
                      <w:kern w:val="10"/>
                      <w:szCs w:val="21"/>
                      <w:highlight w:val="none"/>
                      <w:lang w:eastAsia="zh-CN"/>
                    </w:rPr>
                    <w:t>党政机关或国有企业委托的法律服务业绩，</w:t>
                  </w:r>
                  <w:r>
                    <w:rPr>
                      <w:rFonts w:hint="eastAsia" w:ascii="宋体" w:hAnsi="宋体" w:cs="宋体"/>
                      <w:color w:val="auto"/>
                      <w:kern w:val="10"/>
                      <w:szCs w:val="21"/>
                      <w:highlight w:val="none"/>
                    </w:rPr>
                    <w:t>每提供</w:t>
                  </w:r>
                  <w:r>
                    <w:rPr>
                      <w:rFonts w:hint="eastAsia" w:ascii="宋体" w:hAnsi="宋体" w:eastAsia="宋体" w:cs="宋体"/>
                      <w:color w:val="auto"/>
                      <w:kern w:val="10"/>
                      <w:szCs w:val="21"/>
                      <w:highlight w:val="none"/>
                      <w:lang w:val="en-US" w:eastAsia="zh-CN"/>
                    </w:rPr>
                    <w:t>1</w:t>
                  </w:r>
                  <w:r>
                    <w:rPr>
                      <w:rFonts w:hint="eastAsia" w:ascii="宋体" w:hAnsi="宋体" w:cs="宋体"/>
                      <w:color w:val="auto"/>
                      <w:kern w:val="10"/>
                      <w:szCs w:val="21"/>
                      <w:highlight w:val="none"/>
                    </w:rPr>
                    <w:t>个业绩合同，得</w:t>
                  </w:r>
                  <w:r>
                    <w:rPr>
                      <w:rFonts w:hint="eastAsia" w:ascii="宋体" w:hAnsi="宋体" w:cs="宋体"/>
                      <w:color w:val="auto"/>
                      <w:kern w:val="10"/>
                      <w:szCs w:val="21"/>
                      <w:highlight w:val="none"/>
                      <w:lang w:val="en-US" w:eastAsia="zh-CN"/>
                    </w:rPr>
                    <w:t>1.5</w:t>
                  </w:r>
                  <w:r>
                    <w:rPr>
                      <w:rFonts w:hint="eastAsia" w:ascii="宋体" w:hAnsi="宋体" w:cs="宋体"/>
                      <w:color w:val="auto"/>
                      <w:kern w:val="10"/>
                      <w:szCs w:val="21"/>
                      <w:highlight w:val="none"/>
                    </w:rPr>
                    <w:t>分。满分</w:t>
                  </w:r>
                  <w:r>
                    <w:rPr>
                      <w:rFonts w:hint="eastAsia" w:ascii="宋体" w:hAnsi="宋体" w:cs="宋体"/>
                      <w:color w:val="auto"/>
                      <w:kern w:val="10"/>
                      <w:szCs w:val="21"/>
                      <w:highlight w:val="none"/>
                      <w:lang w:val="en-US" w:eastAsia="zh-CN"/>
                    </w:rPr>
                    <w:t>12</w:t>
                  </w:r>
                  <w:r>
                    <w:rPr>
                      <w:rFonts w:hint="eastAsia" w:ascii="宋体" w:hAnsi="宋体" w:cs="宋体"/>
                      <w:color w:val="auto"/>
                      <w:kern w:val="10"/>
                      <w:szCs w:val="21"/>
                      <w:highlight w:val="none"/>
                    </w:rPr>
                    <w:t>分</w:t>
                  </w:r>
                  <w:r>
                    <w:rPr>
                      <w:rFonts w:hint="eastAsia" w:ascii="宋体" w:hAnsi="宋体" w:cs="宋体"/>
                      <w:color w:val="auto"/>
                      <w:kern w:val="10"/>
                      <w:szCs w:val="21"/>
                      <w:highlight w:val="none"/>
                      <w:lang w:eastAsia="zh-CN"/>
                    </w:rPr>
                    <w:t>。</w:t>
                  </w:r>
                </w:p>
                <w:p>
                  <w:pPr>
                    <w:pStyle w:val="2"/>
                    <w:ind w:left="0" w:leftChars="0" w:firstLine="0" w:firstLineChars="0"/>
                    <w:rPr>
                      <w:rFonts w:hint="eastAsia" w:ascii="宋体" w:hAnsi="宋体" w:eastAsia="宋体" w:cs="宋体"/>
                      <w:color w:val="auto"/>
                      <w:kern w:val="10"/>
                      <w:sz w:val="24"/>
                      <w:szCs w:val="21"/>
                      <w:highlight w:val="none"/>
                      <w:lang w:val="en-US" w:eastAsia="zh-CN" w:bidi="ar-SA"/>
                    </w:rPr>
                  </w:pPr>
                  <w:r>
                    <w:rPr>
                      <w:rFonts w:hint="eastAsia" w:ascii="宋体" w:hAnsi="宋体" w:cs="宋体"/>
                      <w:color w:val="auto"/>
                      <w:kern w:val="10"/>
                      <w:szCs w:val="21"/>
                      <w:highlight w:val="none"/>
                      <w:lang w:val="en-US" w:eastAsia="zh-CN"/>
                    </w:rPr>
                    <w:t xml:space="preserve">  </w:t>
                  </w:r>
                  <w:r>
                    <w:rPr>
                      <w:rFonts w:hint="eastAsia" w:ascii="宋体" w:hAnsi="宋体" w:eastAsia="宋体" w:cs="宋体"/>
                      <w:color w:val="auto"/>
                      <w:kern w:val="10"/>
                      <w:sz w:val="24"/>
                      <w:szCs w:val="21"/>
                      <w:highlight w:val="none"/>
                      <w:lang w:val="en-US" w:eastAsia="zh-CN" w:bidi="ar-SA"/>
                    </w:rPr>
                    <w:t>注：须提供业绩合同扫描件或影印件，如业绩合同无法体现项目内容、签订时间等评审内容，需另附业主相关证明材料，否则评分小组不予认可。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403" w:type="pct"/>
                  <w:vMerge w:val="continue"/>
                  <w:noWrap w:val="0"/>
                  <w:vAlign w:val="center"/>
                </w:tcPr>
                <w:p>
                  <w:pPr>
                    <w:jc w:val="center"/>
                    <w:rPr>
                      <w:color w:val="auto"/>
                      <w:szCs w:val="21"/>
                      <w:highlight w:val="none"/>
                    </w:rPr>
                  </w:pPr>
                </w:p>
              </w:tc>
              <w:tc>
                <w:tcPr>
                  <w:tcW w:w="604" w:type="pct"/>
                  <w:vMerge w:val="continue"/>
                  <w:noWrap w:val="0"/>
                  <w:vAlign w:val="center"/>
                </w:tcPr>
                <w:p>
                  <w:pPr>
                    <w:jc w:val="center"/>
                    <w:rPr>
                      <w:color w:val="auto"/>
                      <w:szCs w:val="21"/>
                      <w:highlight w:val="none"/>
                    </w:rPr>
                  </w:pPr>
                </w:p>
              </w:tc>
              <w:tc>
                <w:tcPr>
                  <w:tcW w:w="416" w:type="pct"/>
                  <w:noWrap w:val="0"/>
                  <w:tcMar>
                    <w:left w:w="75" w:type="dxa"/>
                  </w:tcMar>
                  <w:vAlign w:val="center"/>
                </w:tcPr>
                <w:p>
                  <w:pPr>
                    <w:snapToGrid w:val="0"/>
                    <w:jc w:val="center"/>
                    <w:rPr>
                      <w:rFonts w:hint="eastAsia" w:eastAsia="宋体"/>
                      <w:color w:val="auto"/>
                      <w:szCs w:val="21"/>
                      <w:highlight w:val="none"/>
                      <w:lang w:eastAsia="zh-CN"/>
                    </w:rPr>
                  </w:pPr>
                  <w:r>
                    <w:rPr>
                      <w:rFonts w:hint="eastAsia" w:eastAsia="宋体"/>
                      <w:color w:val="auto"/>
                      <w:lang w:eastAsia="zh-CN"/>
                    </w:rPr>
                    <w:t>经办律师</w:t>
                  </w:r>
                  <w:r>
                    <w:rPr>
                      <w:color w:val="auto"/>
                    </w:rPr>
                    <w:t>业绩</w:t>
                  </w:r>
                  <w:r>
                    <w:rPr>
                      <w:rFonts w:hint="eastAsia" w:eastAsia="宋体"/>
                      <w:color w:val="auto"/>
                      <w:lang w:eastAsia="zh-CN"/>
                    </w:rPr>
                    <w:t>和执业年限</w:t>
                  </w:r>
                </w:p>
              </w:tc>
              <w:tc>
                <w:tcPr>
                  <w:tcW w:w="582" w:type="pct"/>
                  <w:noWrap w:val="0"/>
                  <w:vAlign w:val="center"/>
                </w:tcPr>
                <w:p>
                  <w:pPr>
                    <w:widowControl/>
                    <w:snapToGrid w:val="0"/>
                    <w:jc w:val="center"/>
                    <w:rPr>
                      <w:rFonts w:hint="eastAsia" w:ascii="宋体" w:hAnsi="宋体" w:eastAsia="宋体" w:cs="宋体"/>
                      <w:color w:val="auto"/>
                      <w:kern w:val="10"/>
                      <w:sz w:val="24"/>
                      <w:szCs w:val="21"/>
                      <w:highlight w:val="none"/>
                      <w:lang w:val="en-US" w:eastAsia="zh-CN" w:bidi="ar-SA"/>
                    </w:rPr>
                  </w:pPr>
                  <w:r>
                    <w:rPr>
                      <w:rFonts w:hint="eastAsia" w:ascii="宋体" w:hAnsi="宋体" w:eastAsia="宋体" w:cs="宋体"/>
                      <w:color w:val="auto"/>
                      <w:kern w:val="10"/>
                      <w:sz w:val="24"/>
                      <w:szCs w:val="21"/>
                      <w:highlight w:val="none"/>
                      <w:lang w:val="en-US" w:eastAsia="zh-CN" w:bidi="ar-SA"/>
                    </w:rPr>
                    <w:t>12分</w:t>
                  </w:r>
                </w:p>
              </w:tc>
              <w:tc>
                <w:tcPr>
                  <w:tcW w:w="2992" w:type="pct"/>
                  <w:noWrap w:val="0"/>
                  <w:vAlign w:val="center"/>
                </w:tcPr>
                <w:p>
                  <w:pPr>
                    <w:spacing w:line="360" w:lineRule="auto"/>
                    <w:rPr>
                      <w:rFonts w:hint="default" w:ascii="宋体" w:hAnsi="宋体" w:eastAsia="宋体" w:cs="宋体"/>
                      <w:color w:val="auto"/>
                      <w:kern w:val="10"/>
                      <w:sz w:val="24"/>
                      <w:szCs w:val="21"/>
                      <w:highlight w:val="none"/>
                      <w:lang w:val="en-US" w:eastAsia="zh-CN" w:bidi="ar-SA"/>
                    </w:rPr>
                  </w:pPr>
                  <w:r>
                    <w:rPr>
                      <w:rFonts w:hint="eastAsia" w:ascii="宋体" w:hAnsi="宋体" w:eastAsia="宋体" w:cs="宋体"/>
                      <w:color w:val="auto"/>
                      <w:kern w:val="10"/>
                      <w:sz w:val="24"/>
                      <w:szCs w:val="21"/>
                      <w:highlight w:val="none"/>
                      <w:lang w:val="en-US" w:eastAsia="zh-CN" w:bidi="ar-SA"/>
                    </w:rPr>
                    <w:t>1、2019年1月1日（以合同签订时间为准）以来经办律师具有</w:t>
                  </w:r>
                  <w:r>
                    <w:rPr>
                      <w:rFonts w:hint="eastAsia" w:ascii="宋体" w:hAnsi="宋体" w:eastAsia="宋体" w:cs="宋体"/>
                      <w:color w:val="auto"/>
                      <w:kern w:val="10"/>
                      <w:szCs w:val="21"/>
                      <w:highlight w:val="none"/>
                      <w:lang w:eastAsia="zh-CN"/>
                    </w:rPr>
                    <w:t>县直单位以上</w:t>
                  </w:r>
                  <w:r>
                    <w:rPr>
                      <w:rFonts w:hint="eastAsia" w:ascii="宋体" w:hAnsi="宋体" w:eastAsia="宋体" w:cs="宋体"/>
                      <w:color w:val="auto"/>
                      <w:kern w:val="10"/>
                      <w:szCs w:val="21"/>
                      <w:highlight w:val="none"/>
                      <w:lang w:val="en-US" w:eastAsia="zh-CN"/>
                    </w:rPr>
                    <w:t>(含县直单位）</w:t>
                  </w:r>
                  <w:r>
                    <w:rPr>
                      <w:rFonts w:hint="eastAsia" w:ascii="宋体" w:hAnsi="宋体" w:eastAsia="宋体" w:cs="宋体"/>
                      <w:color w:val="auto"/>
                      <w:kern w:val="10"/>
                      <w:sz w:val="24"/>
                      <w:szCs w:val="21"/>
                      <w:highlight w:val="none"/>
                      <w:lang w:val="en-US" w:eastAsia="zh-CN" w:bidi="ar-SA"/>
                    </w:rPr>
                    <w:t xml:space="preserve">党政机关或国有企业专项律师服务工作业绩，每提供2个业绩合同，得2分。满分6分。                                                                                                                                </w:t>
                  </w:r>
                </w:p>
                <w:p>
                  <w:pPr>
                    <w:numPr>
                      <w:ilvl w:val="0"/>
                      <w:numId w:val="2"/>
                    </w:numPr>
                    <w:spacing w:line="360" w:lineRule="auto"/>
                    <w:rPr>
                      <w:rFonts w:hint="eastAsia" w:ascii="宋体" w:hAnsi="宋体" w:eastAsia="宋体" w:cs="宋体"/>
                      <w:color w:val="auto"/>
                      <w:kern w:val="10"/>
                      <w:sz w:val="24"/>
                      <w:szCs w:val="21"/>
                      <w:highlight w:val="none"/>
                      <w:lang w:val="en-US" w:eastAsia="zh-CN" w:bidi="ar-SA"/>
                    </w:rPr>
                  </w:pPr>
                  <w:r>
                    <w:rPr>
                      <w:rFonts w:hint="eastAsia" w:ascii="宋体" w:hAnsi="宋体" w:eastAsia="宋体" w:cs="宋体"/>
                      <w:color w:val="auto"/>
                      <w:kern w:val="10"/>
                      <w:sz w:val="24"/>
                      <w:szCs w:val="21"/>
                      <w:highlight w:val="none"/>
                      <w:lang w:val="en-US" w:eastAsia="zh-CN" w:bidi="ar-SA"/>
                    </w:rPr>
                    <w:t>本项目配备的经办律师不少于3名，包含一名律所合伙人（或负责人）。经办律师一周坐班一天，其中律所合伙人或负责人一月最少坐班一天。在此基础上，服务律师执业服务年限有在5年（含）以上10年（不含）以下的，得1分，执业年限有在10年（含及以上）得2分，满分6分。</w:t>
                  </w:r>
                </w:p>
                <w:p>
                  <w:pPr>
                    <w:pStyle w:val="2"/>
                    <w:ind w:left="0" w:leftChars="0" w:firstLine="480" w:firstLineChars="200"/>
                    <w:rPr>
                      <w:rFonts w:hint="eastAsia" w:ascii="宋体" w:hAnsi="宋体" w:eastAsia="宋体" w:cs="宋体"/>
                      <w:color w:val="auto"/>
                      <w:kern w:val="10"/>
                      <w:sz w:val="24"/>
                      <w:szCs w:val="21"/>
                      <w:highlight w:val="none"/>
                      <w:lang w:val="en-US" w:eastAsia="zh-CN" w:bidi="ar-SA"/>
                    </w:rPr>
                  </w:pPr>
                  <w:r>
                    <w:rPr>
                      <w:rFonts w:hint="eastAsia" w:ascii="宋体" w:hAnsi="宋体" w:eastAsia="宋体" w:cs="宋体"/>
                      <w:color w:val="auto"/>
                      <w:kern w:val="10"/>
                      <w:sz w:val="24"/>
                      <w:szCs w:val="21"/>
                      <w:highlight w:val="none"/>
                      <w:lang w:val="en-US" w:eastAsia="zh-CN" w:bidi="ar-SA"/>
                    </w:rPr>
                    <w:t>备注：（1）业绩含正在履约业绩，须提供业绩合同扫描件或影印件，如业绩合同无法体现项目内容、姓名、签订时间等评审内容，需另附业主相关证明材料，否则评分小组不予认可。</w:t>
                  </w:r>
                </w:p>
                <w:p>
                  <w:pPr>
                    <w:pStyle w:val="2"/>
                    <w:ind w:left="0" w:leftChars="0" w:firstLine="480" w:firstLineChars="200"/>
                    <w:rPr>
                      <w:rFonts w:hint="eastAsia" w:ascii="宋体" w:hAnsi="宋体" w:eastAsia="宋体" w:cs="宋体"/>
                      <w:color w:val="auto"/>
                      <w:kern w:val="10"/>
                      <w:sz w:val="24"/>
                      <w:szCs w:val="21"/>
                      <w:highlight w:val="none"/>
                      <w:lang w:val="zh-CN" w:eastAsia="zh-CN" w:bidi="ar-SA"/>
                    </w:rPr>
                  </w:pPr>
                  <w:r>
                    <w:rPr>
                      <w:rFonts w:hint="eastAsia" w:ascii="宋体" w:hAnsi="宋体" w:eastAsia="宋体" w:cs="宋体"/>
                      <w:color w:val="auto"/>
                      <w:kern w:val="10"/>
                      <w:sz w:val="24"/>
                      <w:szCs w:val="21"/>
                      <w:highlight w:val="none"/>
                      <w:lang w:val="en-US" w:eastAsia="zh-CN" w:bidi="ar-SA"/>
                    </w:rPr>
                    <w:t>（2）经办律师须提供律师执业资格证。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3" w:hRule="atLeast"/>
              </w:trPr>
              <w:tc>
                <w:tcPr>
                  <w:tcW w:w="403" w:type="pct"/>
                  <w:vMerge w:val="continue"/>
                  <w:noWrap w:val="0"/>
                  <w:vAlign w:val="center"/>
                </w:tcPr>
                <w:p>
                  <w:pPr>
                    <w:jc w:val="center"/>
                    <w:rPr>
                      <w:color w:val="auto"/>
                      <w:szCs w:val="21"/>
                      <w:highlight w:val="none"/>
                    </w:rPr>
                  </w:pPr>
                </w:p>
              </w:tc>
              <w:tc>
                <w:tcPr>
                  <w:tcW w:w="604" w:type="pct"/>
                  <w:vMerge w:val="continue"/>
                  <w:noWrap w:val="0"/>
                  <w:vAlign w:val="center"/>
                </w:tcPr>
                <w:p>
                  <w:pPr>
                    <w:jc w:val="center"/>
                    <w:rPr>
                      <w:color w:val="auto"/>
                      <w:szCs w:val="21"/>
                      <w:highlight w:val="none"/>
                    </w:rPr>
                  </w:pPr>
                </w:p>
              </w:tc>
              <w:tc>
                <w:tcPr>
                  <w:tcW w:w="416" w:type="pct"/>
                  <w:noWrap w:val="0"/>
                  <w:tcMar>
                    <w:left w:w="75" w:type="dxa"/>
                  </w:tcMar>
                  <w:vAlign w:val="center"/>
                </w:tcPr>
                <w:p>
                  <w:pPr>
                    <w:snapToGrid w:val="0"/>
                    <w:jc w:val="center"/>
                    <w:rPr>
                      <w:rFonts w:hint="eastAsia"/>
                      <w:color w:val="auto"/>
                      <w:szCs w:val="21"/>
                      <w:highlight w:val="none"/>
                    </w:rPr>
                  </w:pPr>
                  <w:r>
                    <w:rPr>
                      <w:rFonts w:hint="eastAsia" w:ascii="宋体" w:hAnsi="宋体"/>
                      <w:color w:val="auto"/>
                      <w:szCs w:val="21"/>
                    </w:rPr>
                    <w:t>投标人奖项、荣誉</w:t>
                  </w:r>
                </w:p>
              </w:tc>
              <w:tc>
                <w:tcPr>
                  <w:tcW w:w="582" w:type="pct"/>
                  <w:noWrap w:val="0"/>
                  <w:vAlign w:val="center"/>
                </w:tcPr>
                <w:p>
                  <w:pPr>
                    <w:widowControl/>
                    <w:snapToGrid w:val="0"/>
                    <w:jc w:val="center"/>
                    <w:rPr>
                      <w:rFonts w:hint="eastAsia"/>
                      <w:color w:val="auto"/>
                      <w:kern w:val="0"/>
                      <w:szCs w:val="21"/>
                      <w:highlight w:val="none"/>
                      <w:u w:val="single"/>
                    </w:rPr>
                  </w:pPr>
                  <w:r>
                    <w:rPr>
                      <w:rFonts w:hint="eastAsia" w:eastAsia="宋体"/>
                      <w:color w:val="auto"/>
                      <w:kern w:val="0"/>
                      <w:szCs w:val="21"/>
                      <w:highlight w:val="none"/>
                      <w:u w:val="single"/>
                      <w:lang w:val="en-US" w:eastAsia="zh-CN"/>
                    </w:rPr>
                    <w:t>6</w:t>
                  </w:r>
                  <w:r>
                    <w:rPr>
                      <w:rFonts w:hint="eastAsia"/>
                      <w:color w:val="auto"/>
                      <w:kern w:val="0"/>
                      <w:szCs w:val="21"/>
                      <w:highlight w:val="none"/>
                      <w:u w:val="single"/>
                    </w:rPr>
                    <w:t>分</w:t>
                  </w:r>
                </w:p>
              </w:tc>
              <w:tc>
                <w:tcPr>
                  <w:tcW w:w="2992" w:type="pct"/>
                  <w:noWrap w:val="0"/>
                  <w:vAlign w:val="center"/>
                </w:tcPr>
                <w:p>
                  <w:pPr>
                    <w:spacing w:line="360" w:lineRule="auto"/>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1、2019年1月1日以来（以获奖时间为准），</w:t>
                  </w:r>
                  <w:r>
                    <w:rPr>
                      <w:rFonts w:hint="eastAsia" w:ascii="宋体" w:hAnsi="宋体" w:cs="宋体"/>
                      <w:b w:val="0"/>
                      <w:bCs w:val="0"/>
                      <w:color w:val="auto"/>
                      <w:szCs w:val="21"/>
                      <w:highlight w:val="none"/>
                    </w:rPr>
                    <w:t>投标人</w:t>
                  </w:r>
                  <w:r>
                    <w:rPr>
                      <w:rFonts w:hint="eastAsia" w:ascii="宋体" w:hAnsi="宋体" w:eastAsia="宋体" w:cs="宋体"/>
                      <w:b w:val="0"/>
                      <w:bCs w:val="0"/>
                      <w:color w:val="auto"/>
                      <w:szCs w:val="21"/>
                      <w:highlight w:val="none"/>
                      <w:lang w:eastAsia="zh-CN"/>
                    </w:rPr>
                    <w:t>获得县级及以上司法行政主管部门或国内依法登记注册的律师协会（学会）颁布的“优秀律师事务所”称号，得</w:t>
                  </w:r>
                  <w:r>
                    <w:rPr>
                      <w:rFonts w:hint="eastAsia" w:ascii="宋体" w:hAnsi="宋体" w:eastAsia="宋体" w:cs="宋体"/>
                      <w:b w:val="0"/>
                      <w:bCs w:val="0"/>
                      <w:color w:val="auto"/>
                      <w:szCs w:val="21"/>
                      <w:highlight w:val="none"/>
                      <w:lang w:val="en-US" w:eastAsia="zh-CN"/>
                    </w:rPr>
                    <w:t>2分；</w:t>
                  </w:r>
                </w:p>
                <w:p>
                  <w:pPr>
                    <w:spacing w:line="360" w:lineRule="auto"/>
                    <w:rPr>
                      <w:rFonts w:hint="default"/>
                      <w:color w:val="auto"/>
                      <w:lang w:val="en-US" w:eastAsia="zh-CN"/>
                    </w:rPr>
                  </w:pPr>
                  <w:r>
                    <w:rPr>
                      <w:rFonts w:hint="eastAsia" w:ascii="宋体" w:hAnsi="宋体" w:eastAsia="宋体" w:cs="宋体"/>
                      <w:b w:val="0"/>
                      <w:bCs w:val="0"/>
                      <w:color w:val="auto"/>
                      <w:szCs w:val="21"/>
                      <w:highlight w:val="none"/>
                      <w:lang w:val="en-US" w:eastAsia="zh-CN"/>
                    </w:rPr>
                    <w:t>2、2019年1月1日以来（以获奖时间为准），经办律师获得县级及以上司法行政主管部门或国内依法登记注册的律师协会（学会）颁发的荣誉：“十佳”律师或“优秀”律师，每提供1个得2分，满分4分。</w:t>
                  </w:r>
                </w:p>
                <w:p>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注：</w:t>
                  </w:r>
                  <w:r>
                    <w:rPr>
                      <w:rFonts w:hint="eastAsia" w:ascii="宋体" w:hAnsi="宋体" w:eastAsia="宋体" w:cs="宋体"/>
                      <w:b/>
                      <w:bCs/>
                      <w:color w:val="auto"/>
                      <w:szCs w:val="21"/>
                      <w:highlight w:val="none"/>
                      <w:lang w:eastAsia="zh-CN"/>
                    </w:rPr>
                    <w:t>需提供证书、批复、颁发单位颁奖文件、网上公示截图（具有其中之一即可）证明材料扫描件或影印件。须能体现投标供应商名称、姓名、获奖时间等关键信息，未提供或提供不全不得分。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403" w:type="pct"/>
                  <w:vMerge w:val="restart"/>
                  <w:noWrap w:val="0"/>
                  <w:vAlign w:val="center"/>
                </w:tcPr>
                <w:p>
                  <w:pPr>
                    <w:jc w:val="center"/>
                    <w:rPr>
                      <w:color w:val="auto"/>
                      <w:szCs w:val="21"/>
                      <w:highlight w:val="none"/>
                    </w:rPr>
                  </w:pPr>
                  <w:r>
                    <w:rPr>
                      <w:color w:val="auto"/>
                      <w:szCs w:val="21"/>
                      <w:highlight w:val="none"/>
                    </w:rPr>
                    <w:t>2.2.</w:t>
                  </w:r>
                  <w:r>
                    <w:rPr>
                      <w:rFonts w:hint="eastAsia"/>
                      <w:color w:val="auto"/>
                      <w:szCs w:val="21"/>
                      <w:highlight w:val="none"/>
                    </w:rPr>
                    <w:t>3</w:t>
                  </w:r>
                  <w:r>
                    <w:rPr>
                      <w:color w:val="auto"/>
                      <w:szCs w:val="21"/>
                      <w:highlight w:val="none"/>
                    </w:rPr>
                    <w:t>（2）</w:t>
                  </w:r>
                </w:p>
              </w:tc>
              <w:tc>
                <w:tcPr>
                  <w:tcW w:w="604" w:type="pct"/>
                  <w:vMerge w:val="restart"/>
                  <w:noWrap w:val="0"/>
                  <w:vAlign w:val="center"/>
                </w:tcPr>
                <w:p>
                  <w:pPr>
                    <w:jc w:val="center"/>
                    <w:rPr>
                      <w:color w:val="auto"/>
                      <w:szCs w:val="21"/>
                      <w:highlight w:val="none"/>
                    </w:rPr>
                  </w:pPr>
                  <w:r>
                    <w:rPr>
                      <w:color w:val="auto"/>
                      <w:szCs w:val="21"/>
                      <w:highlight w:val="none"/>
                    </w:rPr>
                    <w:t>技术评分标准</w:t>
                  </w:r>
                </w:p>
              </w:tc>
              <w:tc>
                <w:tcPr>
                  <w:tcW w:w="416" w:type="pct"/>
                  <w:noWrap w:val="0"/>
                  <w:tcMar>
                    <w:left w:w="75" w:type="dxa"/>
                  </w:tcMar>
                  <w:vAlign w:val="center"/>
                </w:tcPr>
                <w:p>
                  <w:pPr>
                    <w:jc w:val="center"/>
                    <w:rPr>
                      <w:rFonts w:hint="eastAsia" w:eastAsia="宋体"/>
                      <w:color w:val="auto"/>
                      <w:szCs w:val="21"/>
                      <w:highlight w:val="none"/>
                      <w:lang w:eastAsia="zh-CN"/>
                    </w:rPr>
                  </w:pPr>
                  <w:r>
                    <w:rPr>
                      <w:rFonts w:hint="eastAsia" w:ascii="宋体" w:hAnsi="宋体" w:eastAsia="宋体" w:cs="宋体"/>
                      <w:color w:val="auto"/>
                      <w:kern w:val="0"/>
                      <w:szCs w:val="21"/>
                      <w:lang w:eastAsia="zh-CN"/>
                    </w:rPr>
                    <w:t>服务方案</w:t>
                  </w:r>
                </w:p>
              </w:tc>
              <w:tc>
                <w:tcPr>
                  <w:tcW w:w="582" w:type="pct"/>
                  <w:noWrap w:val="0"/>
                  <w:vAlign w:val="center"/>
                </w:tcPr>
                <w:p>
                  <w:pPr>
                    <w:snapToGrid w:val="0"/>
                    <w:spacing w:line="360" w:lineRule="auto"/>
                    <w:jc w:val="center"/>
                    <w:rPr>
                      <w:rFonts w:hint="eastAsia" w:ascii="宋体" w:hAnsi="宋体" w:cs="宋体"/>
                      <w:color w:val="auto"/>
                      <w:szCs w:val="21"/>
                      <w:highlight w:val="none"/>
                    </w:rPr>
                  </w:pPr>
                  <w:r>
                    <w:rPr>
                      <w:rFonts w:hint="eastAsia" w:eastAsia="宋体"/>
                      <w:color w:val="auto"/>
                      <w:kern w:val="0"/>
                      <w:szCs w:val="21"/>
                      <w:highlight w:val="none"/>
                      <w:u w:val="single"/>
                      <w:lang w:val="en-US" w:eastAsia="zh-CN"/>
                    </w:rPr>
                    <w:t>10</w:t>
                  </w:r>
                  <w:r>
                    <w:rPr>
                      <w:rFonts w:hint="eastAsia"/>
                      <w:color w:val="auto"/>
                      <w:kern w:val="0"/>
                      <w:szCs w:val="21"/>
                      <w:highlight w:val="none"/>
                    </w:rPr>
                    <w:t>分</w:t>
                  </w:r>
                </w:p>
              </w:tc>
              <w:tc>
                <w:tcPr>
                  <w:tcW w:w="2992" w:type="pct"/>
                  <w:noWrap w:val="0"/>
                  <w:vAlign w:val="center"/>
                </w:tcPr>
                <w:p>
                  <w:pPr>
                    <w:autoSpaceDE w:val="0"/>
                    <w:autoSpaceDN w:val="0"/>
                    <w:spacing w:line="340" w:lineRule="exact"/>
                    <w:jc w:val="left"/>
                    <w:rPr>
                      <w:rFonts w:ascii="宋体" w:hAnsi="宋体"/>
                      <w:color w:val="auto"/>
                      <w:szCs w:val="21"/>
                    </w:rPr>
                  </w:pPr>
                  <w:r>
                    <w:rPr>
                      <w:rFonts w:hint="eastAsia" w:ascii="宋体" w:hAnsi="宋体" w:eastAsia="宋体"/>
                      <w:color w:val="auto"/>
                      <w:szCs w:val="21"/>
                      <w:lang w:eastAsia="zh-CN"/>
                    </w:rPr>
                    <w:t>方案包括但不限于项目分析、服务思路、重难点分析、时间安排、人员配备、责任划分等，由评分小组酌情评分：服务</w:t>
                  </w:r>
                  <w:r>
                    <w:rPr>
                      <w:rFonts w:hint="eastAsia" w:ascii="宋体" w:hAnsi="宋体"/>
                      <w:color w:val="auto"/>
                      <w:szCs w:val="21"/>
                    </w:rPr>
                    <w:t>方案内容全面详细、科学合理，可行性强的，得</w:t>
                  </w:r>
                  <w:r>
                    <w:rPr>
                      <w:rFonts w:hint="eastAsia" w:ascii="宋体" w:hAnsi="宋体" w:eastAsia="宋体"/>
                      <w:color w:val="auto"/>
                      <w:szCs w:val="21"/>
                      <w:lang w:val="en-US" w:eastAsia="zh-CN"/>
                    </w:rPr>
                    <w:t>8</w:t>
                  </w:r>
                  <w:r>
                    <w:rPr>
                      <w:rFonts w:ascii="宋体" w:hAnsi="宋体"/>
                      <w:color w:val="auto"/>
                      <w:szCs w:val="21"/>
                    </w:rPr>
                    <w:t>＜F≤</w:t>
                  </w:r>
                  <w:r>
                    <w:rPr>
                      <w:rFonts w:hint="eastAsia" w:ascii="宋体" w:hAnsi="宋体" w:eastAsia="宋体"/>
                      <w:color w:val="auto"/>
                      <w:szCs w:val="21"/>
                      <w:lang w:val="en-US" w:eastAsia="zh-CN"/>
                    </w:rPr>
                    <w:t>10</w:t>
                  </w:r>
                  <w:r>
                    <w:rPr>
                      <w:rFonts w:ascii="宋体" w:hAnsi="宋体"/>
                      <w:color w:val="auto"/>
                      <w:szCs w:val="21"/>
                    </w:rPr>
                    <w:t>分；</w:t>
                  </w:r>
                  <w:r>
                    <w:rPr>
                      <w:rFonts w:hint="eastAsia" w:ascii="宋体" w:hAnsi="宋体"/>
                      <w:color w:val="auto"/>
                      <w:szCs w:val="21"/>
                    </w:rPr>
                    <w:t>方案完整，具有一定的合理性和</w:t>
                  </w:r>
                  <w:r>
                    <w:rPr>
                      <w:rFonts w:ascii="宋体" w:hAnsi="宋体"/>
                      <w:color w:val="auto"/>
                      <w:szCs w:val="21"/>
                    </w:rPr>
                    <w:t>可行性的，得</w:t>
                  </w:r>
                  <w:r>
                    <w:rPr>
                      <w:rFonts w:hint="eastAsia" w:ascii="宋体" w:hAnsi="宋体" w:eastAsia="宋体"/>
                      <w:color w:val="auto"/>
                      <w:szCs w:val="21"/>
                      <w:lang w:val="en-US" w:eastAsia="zh-CN"/>
                    </w:rPr>
                    <w:t>6</w:t>
                  </w:r>
                  <w:r>
                    <w:rPr>
                      <w:rFonts w:ascii="宋体" w:hAnsi="宋体"/>
                      <w:color w:val="auto"/>
                      <w:szCs w:val="21"/>
                    </w:rPr>
                    <w:t>＜F≤</w:t>
                  </w:r>
                  <w:r>
                    <w:rPr>
                      <w:rFonts w:hint="eastAsia" w:ascii="宋体" w:hAnsi="宋体" w:eastAsia="宋体"/>
                      <w:color w:val="auto"/>
                      <w:szCs w:val="21"/>
                      <w:lang w:val="en-US" w:eastAsia="zh-CN"/>
                    </w:rPr>
                    <w:t>8</w:t>
                  </w:r>
                  <w:r>
                    <w:rPr>
                      <w:rFonts w:ascii="宋体" w:hAnsi="宋体"/>
                      <w:color w:val="auto"/>
                      <w:szCs w:val="21"/>
                    </w:rPr>
                    <w:t>分；</w:t>
                  </w:r>
                  <w:r>
                    <w:rPr>
                      <w:rFonts w:hint="eastAsia" w:ascii="宋体" w:hAnsi="宋体"/>
                      <w:color w:val="auto"/>
                      <w:szCs w:val="21"/>
                    </w:rPr>
                    <w:t>方案内容待完善</w:t>
                  </w:r>
                  <w:r>
                    <w:rPr>
                      <w:rFonts w:ascii="宋体" w:hAnsi="宋体"/>
                      <w:color w:val="auto"/>
                      <w:szCs w:val="21"/>
                    </w:rPr>
                    <w:t>，</w:t>
                  </w:r>
                  <w:r>
                    <w:rPr>
                      <w:rFonts w:hint="eastAsia" w:ascii="宋体" w:hAnsi="宋体"/>
                      <w:color w:val="auto"/>
                      <w:szCs w:val="21"/>
                    </w:rPr>
                    <w:t>合理性和可行性均一般的，</w:t>
                  </w:r>
                  <w:r>
                    <w:rPr>
                      <w:rFonts w:ascii="宋体" w:hAnsi="宋体"/>
                      <w:color w:val="auto"/>
                      <w:szCs w:val="21"/>
                    </w:rPr>
                    <w:t>得0＜F≤</w:t>
                  </w:r>
                  <w:r>
                    <w:rPr>
                      <w:rFonts w:hint="eastAsia" w:ascii="宋体" w:hAnsi="宋体" w:eastAsia="宋体"/>
                      <w:color w:val="auto"/>
                      <w:szCs w:val="21"/>
                      <w:lang w:val="en-US" w:eastAsia="zh-CN"/>
                    </w:rPr>
                    <w:t>6</w:t>
                  </w:r>
                  <w:r>
                    <w:rPr>
                      <w:rFonts w:ascii="宋体" w:hAnsi="宋体"/>
                      <w:color w:val="auto"/>
                      <w:szCs w:val="21"/>
                    </w:rPr>
                    <w:t>分；未提供相关内容的，不得分。</w:t>
                  </w:r>
                </w:p>
                <w:p>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b/>
                      <w:bCs/>
                      <w:color w:val="auto"/>
                      <w:kern w:val="0"/>
                      <w:szCs w:val="21"/>
                    </w:rPr>
                    <w:t>注：F为各投标人本项指标得分。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1" w:hRule="atLeast"/>
              </w:trPr>
              <w:tc>
                <w:tcPr>
                  <w:tcW w:w="403" w:type="pct"/>
                  <w:vMerge w:val="continue"/>
                  <w:noWrap w:val="0"/>
                  <w:vAlign w:val="center"/>
                </w:tcPr>
                <w:p>
                  <w:pPr>
                    <w:jc w:val="center"/>
                    <w:rPr>
                      <w:color w:val="auto"/>
                      <w:szCs w:val="21"/>
                      <w:highlight w:val="none"/>
                    </w:rPr>
                  </w:pPr>
                </w:p>
              </w:tc>
              <w:tc>
                <w:tcPr>
                  <w:tcW w:w="604" w:type="pct"/>
                  <w:vMerge w:val="continue"/>
                  <w:noWrap w:val="0"/>
                  <w:vAlign w:val="center"/>
                </w:tcPr>
                <w:p>
                  <w:pPr>
                    <w:jc w:val="center"/>
                    <w:rPr>
                      <w:color w:val="auto"/>
                      <w:szCs w:val="21"/>
                      <w:highlight w:val="none"/>
                    </w:rPr>
                  </w:pPr>
                </w:p>
              </w:tc>
              <w:tc>
                <w:tcPr>
                  <w:tcW w:w="416" w:type="pct"/>
                  <w:noWrap w:val="0"/>
                  <w:tcMar>
                    <w:left w:w="75" w:type="dxa"/>
                  </w:tcMar>
                  <w:vAlign w:val="center"/>
                </w:tcPr>
                <w:p>
                  <w:pPr>
                    <w:snapToGrid w:val="0"/>
                    <w:jc w:val="center"/>
                    <w:rPr>
                      <w:rFonts w:hint="eastAsia" w:eastAsia="宋体"/>
                      <w:color w:val="auto"/>
                      <w:szCs w:val="21"/>
                      <w:highlight w:val="none"/>
                      <w:lang w:eastAsia="zh-CN"/>
                    </w:rPr>
                  </w:pPr>
                  <w:r>
                    <w:rPr>
                      <w:rFonts w:hint="eastAsia" w:ascii="宋体" w:hAnsi="宋体"/>
                      <w:color w:val="auto"/>
                      <w:szCs w:val="21"/>
                    </w:rPr>
                    <w:t>人员培训及管理</w:t>
                  </w:r>
                  <w:r>
                    <w:rPr>
                      <w:rFonts w:hint="eastAsia" w:ascii="宋体" w:hAnsi="宋体" w:eastAsia="宋体"/>
                      <w:color w:val="auto"/>
                      <w:szCs w:val="21"/>
                      <w:lang w:eastAsia="zh-CN"/>
                    </w:rPr>
                    <w:t>制度</w:t>
                  </w:r>
                </w:p>
              </w:tc>
              <w:tc>
                <w:tcPr>
                  <w:tcW w:w="582" w:type="pct"/>
                  <w:noWrap w:val="0"/>
                  <w:vAlign w:val="center"/>
                </w:tcPr>
                <w:p>
                  <w:pPr>
                    <w:snapToGrid w:val="0"/>
                    <w:jc w:val="center"/>
                    <w:rPr>
                      <w:rFonts w:hint="eastAsia"/>
                      <w:color w:val="auto"/>
                      <w:kern w:val="0"/>
                      <w:szCs w:val="21"/>
                      <w:highlight w:val="none"/>
                    </w:rPr>
                  </w:pPr>
                  <w:r>
                    <w:rPr>
                      <w:rFonts w:hint="eastAsia"/>
                      <w:color w:val="auto"/>
                      <w:kern w:val="0"/>
                      <w:szCs w:val="21"/>
                      <w:highlight w:val="none"/>
                      <w:u w:val="single"/>
                      <w:lang w:val="en-US" w:eastAsia="zh-CN"/>
                    </w:rPr>
                    <w:t>10</w:t>
                  </w:r>
                  <w:r>
                    <w:rPr>
                      <w:rFonts w:hint="eastAsia"/>
                      <w:color w:val="auto"/>
                      <w:kern w:val="0"/>
                      <w:szCs w:val="21"/>
                      <w:highlight w:val="none"/>
                    </w:rPr>
                    <w:t>分</w:t>
                  </w:r>
                </w:p>
              </w:tc>
              <w:tc>
                <w:tcPr>
                  <w:tcW w:w="2992" w:type="pct"/>
                  <w:noWrap w:val="0"/>
                  <w:vAlign w:val="center"/>
                </w:tcPr>
                <w:p>
                  <w:pPr>
                    <w:autoSpaceDE w:val="0"/>
                    <w:autoSpaceDN w:val="0"/>
                    <w:spacing w:line="340" w:lineRule="exact"/>
                    <w:jc w:val="left"/>
                    <w:rPr>
                      <w:rFonts w:ascii="宋体" w:hAnsi="宋体"/>
                      <w:color w:val="auto"/>
                      <w:szCs w:val="21"/>
                    </w:rPr>
                  </w:pPr>
                  <w:r>
                    <w:rPr>
                      <w:rFonts w:hint="eastAsia" w:ascii="宋体" w:hAnsi="宋体"/>
                      <w:color w:val="auto"/>
                      <w:szCs w:val="21"/>
                    </w:rPr>
                    <w:t>实行企业内部岗位责任制、管理维护运作制度及标准、管理人员考核制度及标准等，要求符合规范，体现高标准、科学合理、详细完整；有鲜明且科学的企业文化，对企业员工制定合理的培训计划、方式、目标，建立企业员工工作准则；录用与考核、淘汰机制、奖罚、协调关系、服务意识、量化管理及标准运作等；人员培训计划详细、方式合理、规范。评委会根据上述内容进行综合评分：完全满足上述要求，内容全面详细、科学合理的，得</w:t>
                  </w:r>
                  <w:r>
                    <w:rPr>
                      <w:rFonts w:hint="eastAsia" w:ascii="宋体" w:hAnsi="宋体" w:eastAsia="宋体"/>
                      <w:color w:val="auto"/>
                      <w:szCs w:val="21"/>
                      <w:lang w:val="en-US" w:eastAsia="zh-CN"/>
                    </w:rPr>
                    <w:t>8</w:t>
                  </w:r>
                  <w:r>
                    <w:rPr>
                      <w:rFonts w:ascii="宋体" w:hAnsi="宋体"/>
                      <w:color w:val="auto"/>
                      <w:szCs w:val="21"/>
                    </w:rPr>
                    <w:t>＜F≤1</w:t>
                  </w:r>
                  <w:r>
                    <w:rPr>
                      <w:rFonts w:hint="eastAsia" w:ascii="宋体" w:hAnsi="宋体" w:eastAsia="宋体"/>
                      <w:color w:val="auto"/>
                      <w:szCs w:val="21"/>
                      <w:lang w:val="en-US" w:eastAsia="zh-CN"/>
                    </w:rPr>
                    <w:t>0</w:t>
                  </w:r>
                  <w:r>
                    <w:rPr>
                      <w:rFonts w:ascii="宋体" w:hAnsi="宋体"/>
                      <w:color w:val="auto"/>
                      <w:szCs w:val="21"/>
                    </w:rPr>
                    <w:t>分；</w:t>
                  </w:r>
                  <w:r>
                    <w:rPr>
                      <w:rFonts w:hint="eastAsia" w:ascii="宋体" w:hAnsi="宋体"/>
                      <w:color w:val="auto"/>
                      <w:szCs w:val="21"/>
                    </w:rPr>
                    <w:t>方案完整，具有一定的合理性和</w:t>
                  </w:r>
                  <w:r>
                    <w:rPr>
                      <w:rFonts w:ascii="宋体" w:hAnsi="宋体"/>
                      <w:color w:val="auto"/>
                      <w:szCs w:val="21"/>
                    </w:rPr>
                    <w:t>可行性的，得</w:t>
                  </w:r>
                  <w:r>
                    <w:rPr>
                      <w:rFonts w:hint="eastAsia" w:ascii="宋体" w:hAnsi="宋体" w:eastAsia="宋体"/>
                      <w:color w:val="auto"/>
                      <w:szCs w:val="21"/>
                      <w:lang w:val="en-US" w:eastAsia="zh-CN"/>
                    </w:rPr>
                    <w:t>6</w:t>
                  </w:r>
                  <w:r>
                    <w:rPr>
                      <w:rFonts w:ascii="宋体" w:hAnsi="宋体"/>
                      <w:color w:val="auto"/>
                      <w:szCs w:val="21"/>
                    </w:rPr>
                    <w:t>＜F≤</w:t>
                  </w:r>
                  <w:r>
                    <w:rPr>
                      <w:rFonts w:hint="eastAsia" w:ascii="宋体" w:hAnsi="宋体" w:eastAsia="宋体"/>
                      <w:color w:val="auto"/>
                      <w:szCs w:val="21"/>
                      <w:lang w:val="en-US" w:eastAsia="zh-CN"/>
                    </w:rPr>
                    <w:t>8</w:t>
                  </w:r>
                  <w:r>
                    <w:rPr>
                      <w:rFonts w:ascii="宋体" w:hAnsi="宋体"/>
                      <w:color w:val="auto"/>
                      <w:szCs w:val="21"/>
                    </w:rPr>
                    <w:t>分；</w:t>
                  </w:r>
                  <w:r>
                    <w:rPr>
                      <w:rFonts w:hint="eastAsia" w:ascii="宋体" w:hAnsi="宋体"/>
                      <w:color w:val="auto"/>
                      <w:szCs w:val="21"/>
                    </w:rPr>
                    <w:t>方案内容待完善</w:t>
                  </w:r>
                  <w:r>
                    <w:rPr>
                      <w:rFonts w:ascii="宋体" w:hAnsi="宋体"/>
                      <w:color w:val="auto"/>
                      <w:szCs w:val="21"/>
                    </w:rPr>
                    <w:t>，</w:t>
                  </w:r>
                  <w:r>
                    <w:rPr>
                      <w:rFonts w:hint="eastAsia" w:ascii="宋体" w:hAnsi="宋体"/>
                      <w:color w:val="auto"/>
                      <w:szCs w:val="21"/>
                    </w:rPr>
                    <w:t>合理性和可行性均一般的，</w:t>
                  </w:r>
                  <w:r>
                    <w:rPr>
                      <w:rFonts w:ascii="宋体" w:hAnsi="宋体"/>
                      <w:color w:val="auto"/>
                      <w:szCs w:val="21"/>
                    </w:rPr>
                    <w:t>得0＜F≤</w:t>
                  </w:r>
                  <w:r>
                    <w:rPr>
                      <w:rFonts w:hint="eastAsia" w:ascii="宋体" w:hAnsi="宋体" w:eastAsia="宋体"/>
                      <w:color w:val="auto"/>
                      <w:szCs w:val="21"/>
                      <w:lang w:val="en-US" w:eastAsia="zh-CN"/>
                    </w:rPr>
                    <w:t>6</w:t>
                  </w:r>
                  <w:r>
                    <w:rPr>
                      <w:rFonts w:ascii="宋体" w:hAnsi="宋体"/>
                      <w:color w:val="auto"/>
                      <w:szCs w:val="21"/>
                    </w:rPr>
                    <w:t>分；未提供相关内容的，不得分。</w:t>
                  </w:r>
                </w:p>
                <w:p>
                  <w:pPr>
                    <w:snapToGrid w:val="0"/>
                    <w:spacing w:line="360" w:lineRule="auto"/>
                    <w:jc w:val="left"/>
                    <w:rPr>
                      <w:rFonts w:hint="eastAsia"/>
                      <w:color w:val="auto"/>
                      <w:szCs w:val="21"/>
                      <w:highlight w:val="none"/>
                    </w:rPr>
                  </w:pPr>
                  <w:r>
                    <w:rPr>
                      <w:rFonts w:hint="eastAsia" w:ascii="宋体" w:hAnsi="宋体" w:cs="宋体"/>
                      <w:b/>
                      <w:bCs/>
                      <w:color w:val="auto"/>
                      <w:kern w:val="0"/>
                      <w:szCs w:val="21"/>
                    </w:rPr>
                    <w:t>注：F为各投标人本项指标得分。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1" w:hRule="atLeast"/>
              </w:trPr>
              <w:tc>
                <w:tcPr>
                  <w:tcW w:w="403" w:type="pct"/>
                  <w:vMerge w:val="continue"/>
                  <w:noWrap w:val="0"/>
                  <w:vAlign w:val="center"/>
                </w:tcPr>
                <w:p>
                  <w:pPr>
                    <w:jc w:val="center"/>
                    <w:rPr>
                      <w:szCs w:val="21"/>
                      <w:highlight w:val="none"/>
                    </w:rPr>
                  </w:pPr>
                </w:p>
              </w:tc>
              <w:tc>
                <w:tcPr>
                  <w:tcW w:w="604" w:type="pct"/>
                  <w:vMerge w:val="continue"/>
                  <w:noWrap w:val="0"/>
                  <w:vAlign w:val="center"/>
                </w:tcPr>
                <w:p>
                  <w:pPr>
                    <w:jc w:val="center"/>
                    <w:rPr>
                      <w:szCs w:val="21"/>
                      <w:highlight w:val="none"/>
                    </w:rPr>
                  </w:pPr>
                </w:p>
              </w:tc>
              <w:tc>
                <w:tcPr>
                  <w:tcW w:w="416" w:type="pct"/>
                  <w:noWrap w:val="0"/>
                  <w:tcMar>
                    <w:left w:w="75" w:type="dxa"/>
                  </w:tcMar>
                  <w:vAlign w:val="center"/>
                </w:tcPr>
                <w:p>
                  <w:pPr>
                    <w:snapToGrid w:val="0"/>
                    <w:jc w:val="center"/>
                    <w:rPr>
                      <w:rFonts w:hint="eastAsia"/>
                      <w:color w:val="000000"/>
                      <w:szCs w:val="21"/>
                      <w:highlight w:val="none"/>
                    </w:rPr>
                  </w:pPr>
                  <w:r>
                    <w:rPr>
                      <w:rFonts w:hint="eastAsia" w:ascii="宋体" w:hAnsi="宋体"/>
                      <w:szCs w:val="21"/>
                      <w:highlight w:val="none"/>
                    </w:rPr>
                    <w:t>本地化服务</w:t>
                  </w:r>
                </w:p>
              </w:tc>
              <w:tc>
                <w:tcPr>
                  <w:tcW w:w="582" w:type="pct"/>
                  <w:noWrap w:val="0"/>
                  <w:vAlign w:val="center"/>
                </w:tcPr>
                <w:p>
                  <w:pPr>
                    <w:snapToGrid w:val="0"/>
                    <w:jc w:val="center"/>
                    <w:rPr>
                      <w:rFonts w:hint="default"/>
                      <w:kern w:val="0"/>
                      <w:szCs w:val="21"/>
                      <w:highlight w:val="none"/>
                      <w:u w:val="single"/>
                      <w:lang w:val="en-US" w:eastAsia="zh-CN"/>
                    </w:rPr>
                  </w:pPr>
                  <w:r>
                    <w:rPr>
                      <w:rFonts w:hint="eastAsia"/>
                      <w:kern w:val="0"/>
                      <w:szCs w:val="21"/>
                      <w:highlight w:val="none"/>
                      <w:u w:val="single"/>
                      <w:lang w:val="en-US" w:eastAsia="zh-CN"/>
                    </w:rPr>
                    <w:t>10分</w:t>
                  </w:r>
                </w:p>
              </w:tc>
              <w:tc>
                <w:tcPr>
                  <w:tcW w:w="2992" w:type="pct"/>
                  <w:noWrap w:val="0"/>
                  <w:vAlign w:val="center"/>
                </w:tcPr>
                <w:p>
                  <w:pPr>
                    <w:spacing w:line="360" w:lineRule="auto"/>
                    <w:rPr>
                      <w:rFonts w:hint="eastAsia"/>
                      <w:highlight w:val="none"/>
                    </w:rPr>
                  </w:pPr>
                  <w:r>
                    <w:rPr>
                      <w:rFonts w:hint="eastAsia"/>
                      <w:highlight w:val="none"/>
                    </w:rPr>
                    <w:t>评委会根据投标人本地化服务方案进行综合评分，主要包含：</w:t>
                  </w:r>
                </w:p>
                <w:p>
                  <w:pPr>
                    <w:numPr>
                      <w:ilvl w:val="0"/>
                      <w:numId w:val="0"/>
                    </w:numPr>
                    <w:spacing w:line="360" w:lineRule="auto"/>
                    <w:ind w:left="172" w:leftChars="0" w:right="-15" w:rightChars="0"/>
                    <w:rPr>
                      <w:rFonts w:hint="eastAsia" w:ascii="Times New Roman" w:hAnsi="宋体" w:eastAsia="宋体" w:cs="Times New Roman"/>
                      <w:b/>
                      <w:bCs/>
                      <w:szCs w:val="21"/>
                      <w:highlight w:val="none"/>
                    </w:rPr>
                  </w:pPr>
                  <w:r>
                    <w:rPr>
                      <w:rFonts w:hint="eastAsia" w:eastAsia="宋体"/>
                      <w:highlight w:val="none"/>
                      <w:lang w:eastAsia="zh-CN"/>
                    </w:rPr>
                    <w:t>（</w:t>
                  </w:r>
                  <w:r>
                    <w:rPr>
                      <w:rFonts w:hint="eastAsia" w:eastAsia="宋体"/>
                      <w:highlight w:val="none"/>
                      <w:lang w:val="en-US" w:eastAsia="zh-CN"/>
                    </w:rPr>
                    <w:t>1</w:t>
                  </w:r>
                  <w:r>
                    <w:rPr>
                      <w:rFonts w:hint="eastAsia" w:eastAsia="宋体"/>
                      <w:highlight w:val="none"/>
                      <w:lang w:eastAsia="zh-CN"/>
                    </w:rPr>
                    <w:t>）</w:t>
                  </w:r>
                  <w:r>
                    <w:rPr>
                      <w:rFonts w:hint="eastAsia"/>
                      <w:highlight w:val="none"/>
                    </w:rPr>
                    <w:t>本地化服务方案的完善性、可操作性</w:t>
                  </w:r>
                  <w:r>
                    <w:rPr>
                      <w:rFonts w:hint="eastAsia" w:eastAsia="宋体"/>
                      <w:highlight w:val="none"/>
                      <w:lang w:eastAsia="zh-CN"/>
                    </w:rPr>
                    <w:t>（</w:t>
                  </w:r>
                  <w:r>
                    <w:rPr>
                      <w:rFonts w:hint="eastAsia" w:eastAsia="宋体"/>
                      <w:highlight w:val="none"/>
                      <w:lang w:val="en-US" w:eastAsia="zh-CN"/>
                    </w:rPr>
                    <w:t>2分</w:t>
                  </w:r>
                  <w:r>
                    <w:rPr>
                      <w:rFonts w:hint="eastAsia" w:eastAsia="宋体"/>
                      <w:highlight w:val="none"/>
                      <w:lang w:eastAsia="zh-CN"/>
                    </w:rPr>
                    <w:t>）；（</w:t>
                  </w:r>
                  <w:r>
                    <w:rPr>
                      <w:rFonts w:hint="eastAsia" w:eastAsia="宋体"/>
                      <w:highlight w:val="none"/>
                      <w:lang w:val="en-US" w:eastAsia="zh-CN"/>
                    </w:rPr>
                    <w:t>2</w:t>
                  </w:r>
                  <w:r>
                    <w:rPr>
                      <w:rFonts w:hint="eastAsia" w:eastAsia="宋体"/>
                      <w:highlight w:val="none"/>
                      <w:lang w:eastAsia="zh-CN"/>
                    </w:rPr>
                    <w:t>）</w:t>
                  </w:r>
                  <w:r>
                    <w:rPr>
                      <w:rFonts w:hint="eastAsia"/>
                      <w:highlight w:val="none"/>
                    </w:rPr>
                    <w:t>本地化服务方案响应及时性</w:t>
                  </w:r>
                  <w:r>
                    <w:rPr>
                      <w:rFonts w:hint="eastAsia" w:eastAsia="宋体"/>
                      <w:highlight w:val="none"/>
                      <w:lang w:eastAsia="zh-CN"/>
                    </w:rPr>
                    <w:t>（</w:t>
                  </w:r>
                  <w:r>
                    <w:rPr>
                      <w:rFonts w:hint="eastAsia" w:eastAsia="宋体"/>
                      <w:highlight w:val="none"/>
                      <w:lang w:val="en-US" w:eastAsia="zh-CN"/>
                    </w:rPr>
                    <w:t>5分</w:t>
                  </w:r>
                  <w:r>
                    <w:rPr>
                      <w:rFonts w:hint="eastAsia" w:eastAsia="宋体"/>
                      <w:highlight w:val="none"/>
                      <w:lang w:eastAsia="zh-CN"/>
                    </w:rPr>
                    <w:t>）；</w:t>
                  </w:r>
                </w:p>
                <w:p>
                  <w:pPr>
                    <w:numPr>
                      <w:ilvl w:val="0"/>
                      <w:numId w:val="0"/>
                    </w:numPr>
                    <w:spacing w:line="360" w:lineRule="auto"/>
                    <w:ind w:left="172" w:leftChars="0" w:right="-15" w:rightChars="0"/>
                    <w:rPr>
                      <w:rFonts w:hint="eastAsia" w:ascii="Times New Roman" w:hAnsi="Times New Roman" w:eastAsia="宋体" w:cs="楷体"/>
                      <w:bCs/>
                      <w:snapToGrid w:val="0"/>
                      <w:color w:val="000000"/>
                      <w:kern w:val="0"/>
                      <w:szCs w:val="21"/>
                      <w:lang w:eastAsia="zh-CN"/>
                    </w:rPr>
                  </w:pPr>
                  <w:r>
                    <w:rPr>
                      <w:rFonts w:hint="eastAsia" w:eastAsia="宋体"/>
                      <w:highlight w:val="none"/>
                      <w:lang w:eastAsia="zh-CN"/>
                    </w:rPr>
                    <w:t>（</w:t>
                  </w:r>
                  <w:r>
                    <w:rPr>
                      <w:rFonts w:hint="eastAsia" w:eastAsia="宋体"/>
                      <w:highlight w:val="none"/>
                      <w:lang w:val="en-US" w:eastAsia="zh-CN"/>
                    </w:rPr>
                    <w:t>3</w:t>
                  </w:r>
                  <w:r>
                    <w:rPr>
                      <w:rFonts w:hint="eastAsia" w:eastAsia="宋体"/>
                      <w:highlight w:val="none"/>
                      <w:lang w:eastAsia="zh-CN"/>
                    </w:rPr>
                    <w:t>）</w:t>
                  </w:r>
                  <w:r>
                    <w:rPr>
                      <w:rFonts w:hint="eastAsia"/>
                      <w:highlight w:val="none"/>
                    </w:rPr>
                    <w:t>本地化服务能力</w:t>
                  </w:r>
                  <w:r>
                    <w:rPr>
                      <w:rFonts w:hint="eastAsia" w:eastAsia="宋体"/>
                      <w:highlight w:val="none"/>
                      <w:lang w:eastAsia="zh-CN"/>
                    </w:rPr>
                    <w:t>：</w:t>
                  </w:r>
                  <w:r>
                    <w:rPr>
                      <w:rFonts w:hint="eastAsia"/>
                      <w:highlight w:val="none"/>
                      <w:lang w:eastAsia="zh-CN"/>
                    </w:rPr>
                    <w:t>若</w:t>
                  </w:r>
                  <w:r>
                    <w:rPr>
                      <w:rFonts w:hint="eastAsia" w:ascii="Times New Roman" w:hAnsi="Times New Roman" w:cs="楷体"/>
                      <w:bCs/>
                      <w:snapToGrid w:val="0"/>
                      <w:color w:val="000000"/>
                      <w:kern w:val="0"/>
                      <w:szCs w:val="21"/>
                    </w:rPr>
                    <w:t>投标人在</w:t>
                  </w:r>
                  <w:r>
                    <w:rPr>
                      <w:rFonts w:hint="eastAsia" w:ascii="Times New Roman" w:hAnsi="Times New Roman" w:eastAsia="宋体"/>
                      <w:bCs/>
                      <w:snapToGrid w:val="0"/>
                      <w:color w:val="000000"/>
                      <w:kern w:val="0"/>
                      <w:szCs w:val="21"/>
                      <w:lang w:eastAsia="zh-CN"/>
                    </w:rPr>
                    <w:t>合肥</w:t>
                  </w:r>
                  <w:r>
                    <w:rPr>
                      <w:rFonts w:hint="eastAsia" w:ascii="Times New Roman" w:hAnsi="Times New Roman"/>
                      <w:bCs/>
                      <w:snapToGrid w:val="0"/>
                      <w:color w:val="000000"/>
                      <w:kern w:val="0"/>
                      <w:szCs w:val="21"/>
                    </w:rPr>
                    <w:t>区域范围</w:t>
                  </w:r>
                  <w:r>
                    <w:rPr>
                      <w:rFonts w:hint="eastAsia" w:ascii="Times New Roman" w:hAnsi="Times New Roman" w:eastAsia="宋体"/>
                      <w:bCs/>
                      <w:snapToGrid w:val="0"/>
                      <w:color w:val="000000"/>
                      <w:kern w:val="0"/>
                      <w:szCs w:val="21"/>
                      <w:lang w:eastAsia="zh-CN"/>
                    </w:rPr>
                    <w:t>（包括四县一市）</w:t>
                  </w:r>
                  <w:r>
                    <w:rPr>
                      <w:rFonts w:hint="eastAsia" w:ascii="Times New Roman" w:hAnsi="Times New Roman" w:cs="楷体"/>
                      <w:bCs/>
                      <w:snapToGrid w:val="0"/>
                      <w:color w:val="000000"/>
                      <w:kern w:val="0"/>
                      <w:szCs w:val="21"/>
                    </w:rPr>
                    <w:t>注册成立的</w:t>
                  </w:r>
                  <w:r>
                    <w:rPr>
                      <w:rFonts w:hint="eastAsia" w:ascii="Times New Roman" w:hAnsi="Times New Roman" w:eastAsia="宋体" w:cs="楷体"/>
                      <w:bCs/>
                      <w:snapToGrid w:val="0"/>
                      <w:color w:val="000000"/>
                      <w:kern w:val="0"/>
                      <w:szCs w:val="21"/>
                      <w:lang w:eastAsia="zh-CN"/>
                    </w:rPr>
                    <w:t>，或</w:t>
                  </w:r>
                  <w:r>
                    <w:rPr>
                      <w:rFonts w:hint="eastAsia" w:ascii="Times New Roman" w:hAnsi="Times New Roman" w:cs="楷体"/>
                      <w:bCs/>
                      <w:snapToGrid w:val="0"/>
                      <w:color w:val="000000"/>
                      <w:kern w:val="0"/>
                      <w:szCs w:val="21"/>
                    </w:rPr>
                    <w:t>在</w:t>
                  </w:r>
                  <w:r>
                    <w:rPr>
                      <w:rFonts w:hint="eastAsia" w:ascii="Times New Roman" w:hAnsi="Times New Roman" w:eastAsia="宋体"/>
                      <w:bCs/>
                      <w:snapToGrid w:val="0"/>
                      <w:color w:val="000000"/>
                      <w:kern w:val="0"/>
                      <w:szCs w:val="21"/>
                      <w:lang w:eastAsia="zh-CN"/>
                    </w:rPr>
                    <w:t>合肥</w:t>
                  </w:r>
                  <w:r>
                    <w:rPr>
                      <w:rFonts w:hint="eastAsia" w:ascii="Times New Roman" w:hAnsi="Times New Roman"/>
                      <w:bCs/>
                      <w:snapToGrid w:val="0"/>
                      <w:color w:val="000000"/>
                      <w:kern w:val="0"/>
                      <w:szCs w:val="21"/>
                    </w:rPr>
                    <w:t>区域范围</w:t>
                  </w:r>
                  <w:r>
                    <w:rPr>
                      <w:rFonts w:hint="eastAsia" w:ascii="Times New Roman" w:hAnsi="Times New Roman" w:eastAsia="宋体"/>
                      <w:bCs/>
                      <w:snapToGrid w:val="0"/>
                      <w:color w:val="000000"/>
                      <w:kern w:val="0"/>
                      <w:szCs w:val="21"/>
                      <w:lang w:eastAsia="zh-CN"/>
                    </w:rPr>
                    <w:t>（包括四县一市）</w:t>
                  </w:r>
                  <w:r>
                    <w:rPr>
                      <w:rFonts w:hint="eastAsia" w:ascii="Times New Roman" w:hAnsi="Times New Roman" w:cs="楷体"/>
                      <w:bCs/>
                      <w:snapToGrid w:val="0"/>
                      <w:color w:val="000000"/>
                      <w:kern w:val="0"/>
                      <w:szCs w:val="21"/>
                    </w:rPr>
                    <w:t>具有固定的办公场所及人员</w:t>
                  </w:r>
                  <w:r>
                    <w:rPr>
                      <w:rFonts w:hint="eastAsia" w:ascii="Times New Roman" w:hAnsi="Times New Roman" w:eastAsia="宋体" w:cs="楷体"/>
                      <w:bCs/>
                      <w:snapToGrid w:val="0"/>
                      <w:color w:val="000000"/>
                      <w:kern w:val="0"/>
                      <w:szCs w:val="21"/>
                      <w:lang w:eastAsia="zh-CN"/>
                    </w:rPr>
                    <w:t>（</w:t>
                  </w:r>
                  <w:r>
                    <w:rPr>
                      <w:rFonts w:hint="eastAsia" w:ascii="Times New Roman" w:hAnsi="Times New Roman" w:eastAsia="宋体" w:cs="楷体"/>
                      <w:bCs/>
                      <w:snapToGrid w:val="0"/>
                      <w:color w:val="000000"/>
                      <w:kern w:val="0"/>
                      <w:szCs w:val="21"/>
                      <w:lang w:val="en-US" w:eastAsia="zh-CN"/>
                    </w:rPr>
                    <w:t>2分</w:t>
                  </w:r>
                  <w:r>
                    <w:rPr>
                      <w:rFonts w:hint="eastAsia" w:ascii="Times New Roman" w:hAnsi="Times New Roman" w:eastAsia="宋体" w:cs="楷体"/>
                      <w:bCs/>
                      <w:snapToGrid w:val="0"/>
                      <w:color w:val="000000"/>
                      <w:kern w:val="0"/>
                      <w:szCs w:val="21"/>
                      <w:lang w:eastAsia="zh-CN"/>
                    </w:rPr>
                    <w:t>）；</w:t>
                  </w:r>
                </w:p>
                <w:p>
                  <w:pPr>
                    <w:numPr>
                      <w:ilvl w:val="0"/>
                      <w:numId w:val="0"/>
                    </w:numPr>
                    <w:spacing w:line="360" w:lineRule="auto"/>
                    <w:ind w:left="172" w:leftChars="0" w:right="-15" w:rightChars="0"/>
                    <w:rPr>
                      <w:rFonts w:hint="eastAsia"/>
                      <w:highlight w:val="none"/>
                    </w:rPr>
                  </w:pPr>
                  <w:r>
                    <w:rPr>
                      <w:rFonts w:hint="eastAsia" w:ascii="Times New Roman" w:hAnsi="Times New Roman" w:eastAsia="宋体" w:cs="楷体"/>
                      <w:bCs/>
                      <w:snapToGrid w:val="0"/>
                      <w:color w:val="000000"/>
                      <w:kern w:val="0"/>
                      <w:szCs w:val="21"/>
                      <w:lang w:eastAsia="zh-CN"/>
                    </w:rPr>
                    <w:t>（</w:t>
                  </w:r>
                  <w:r>
                    <w:rPr>
                      <w:rFonts w:hint="eastAsia" w:ascii="Times New Roman" w:hAnsi="Times New Roman" w:eastAsia="宋体" w:cs="楷体"/>
                      <w:bCs/>
                      <w:snapToGrid w:val="0"/>
                      <w:color w:val="000000"/>
                      <w:kern w:val="0"/>
                      <w:szCs w:val="21"/>
                      <w:lang w:val="en-US" w:eastAsia="zh-CN"/>
                    </w:rPr>
                    <w:t>4</w:t>
                  </w:r>
                  <w:r>
                    <w:rPr>
                      <w:rFonts w:hint="eastAsia" w:ascii="Times New Roman" w:hAnsi="Times New Roman" w:eastAsia="宋体" w:cs="楷体"/>
                      <w:bCs/>
                      <w:snapToGrid w:val="0"/>
                      <w:color w:val="000000"/>
                      <w:kern w:val="0"/>
                      <w:szCs w:val="21"/>
                      <w:lang w:eastAsia="zh-CN"/>
                    </w:rPr>
                    <w:t>）</w:t>
                  </w:r>
                  <w:r>
                    <w:rPr>
                      <w:rFonts w:hint="eastAsia" w:ascii="Times New Roman" w:hAnsi="Times New Roman" w:cs="楷体"/>
                      <w:bCs/>
                      <w:snapToGrid w:val="0"/>
                      <w:color w:val="000000"/>
                      <w:kern w:val="0"/>
                      <w:szCs w:val="21"/>
                    </w:rPr>
                    <w:t>承诺中标</w:t>
                  </w:r>
                  <w:r>
                    <w:rPr>
                      <w:rFonts w:hint="eastAsia" w:ascii="Times New Roman" w:hAnsi="Times New Roman"/>
                      <w:bCs/>
                      <w:snapToGrid w:val="0"/>
                      <w:color w:val="000000"/>
                      <w:kern w:val="0"/>
                      <w:szCs w:val="21"/>
                    </w:rPr>
                    <w:t>即在</w:t>
                  </w:r>
                  <w:r>
                    <w:rPr>
                      <w:rFonts w:hint="eastAsia" w:ascii="Times New Roman" w:hAnsi="Times New Roman" w:eastAsia="宋体"/>
                      <w:bCs/>
                      <w:snapToGrid w:val="0"/>
                      <w:color w:val="000000"/>
                      <w:kern w:val="0"/>
                      <w:szCs w:val="21"/>
                      <w:lang w:eastAsia="zh-CN"/>
                    </w:rPr>
                    <w:t>合肥</w:t>
                  </w:r>
                  <w:r>
                    <w:rPr>
                      <w:rFonts w:hint="eastAsia" w:ascii="Times New Roman" w:hAnsi="Times New Roman"/>
                      <w:bCs/>
                      <w:snapToGrid w:val="0"/>
                      <w:color w:val="000000"/>
                      <w:kern w:val="0"/>
                      <w:szCs w:val="21"/>
                    </w:rPr>
                    <w:t>区域范围</w:t>
                  </w:r>
                  <w:r>
                    <w:rPr>
                      <w:rFonts w:hint="eastAsia" w:ascii="Times New Roman" w:hAnsi="Times New Roman" w:eastAsia="宋体"/>
                      <w:bCs/>
                      <w:snapToGrid w:val="0"/>
                      <w:color w:val="000000"/>
                      <w:kern w:val="0"/>
                      <w:szCs w:val="21"/>
                      <w:lang w:eastAsia="zh-CN"/>
                    </w:rPr>
                    <w:t>（包括四县一市）</w:t>
                  </w:r>
                  <w:r>
                    <w:rPr>
                      <w:rFonts w:hint="eastAsia" w:ascii="Times New Roman" w:hAnsi="Times New Roman"/>
                      <w:bCs/>
                      <w:snapToGrid w:val="0"/>
                      <w:color w:val="000000"/>
                      <w:kern w:val="0"/>
                      <w:szCs w:val="21"/>
                    </w:rPr>
                    <w:t>设立服务机构</w:t>
                  </w:r>
                  <w:r>
                    <w:rPr>
                      <w:rFonts w:hint="eastAsia" w:ascii="Times New Roman" w:hAnsi="Times New Roman" w:eastAsia="宋体"/>
                      <w:bCs/>
                      <w:snapToGrid w:val="0"/>
                      <w:color w:val="000000"/>
                      <w:kern w:val="0"/>
                      <w:szCs w:val="21"/>
                      <w:lang w:eastAsia="zh-CN"/>
                    </w:rPr>
                    <w:t>（</w:t>
                  </w:r>
                  <w:r>
                    <w:rPr>
                      <w:rFonts w:hint="eastAsia" w:ascii="Times New Roman" w:hAnsi="Times New Roman" w:eastAsia="宋体"/>
                      <w:bCs/>
                      <w:snapToGrid w:val="0"/>
                      <w:color w:val="000000"/>
                      <w:kern w:val="0"/>
                      <w:szCs w:val="21"/>
                      <w:lang w:val="en-US" w:eastAsia="zh-CN"/>
                    </w:rPr>
                    <w:t>1分</w:t>
                  </w:r>
                  <w:r>
                    <w:rPr>
                      <w:rFonts w:hint="eastAsia" w:ascii="Times New Roman" w:hAnsi="Times New Roman" w:eastAsia="宋体"/>
                      <w:bCs/>
                      <w:snapToGrid w:val="0"/>
                      <w:color w:val="000000"/>
                      <w:kern w:val="0"/>
                      <w:szCs w:val="21"/>
                      <w:lang w:eastAsia="zh-CN"/>
                    </w:rPr>
                    <w:t>）</w:t>
                  </w:r>
                  <w:r>
                    <w:rPr>
                      <w:rFonts w:hint="eastAsia"/>
                      <w:highlight w:val="none"/>
                    </w:rPr>
                    <w:t>。</w:t>
                  </w:r>
                </w:p>
                <w:p>
                  <w:pPr>
                    <w:pStyle w:val="2"/>
                    <w:rPr>
                      <w:rFonts w:hint="eastAsia" w:ascii="Times New Roman" w:hAnsi="Times New Roman" w:eastAsia="Calibri" w:cs="楷体"/>
                      <w:bCs/>
                      <w:snapToGrid w:val="0"/>
                      <w:color w:val="000000"/>
                      <w:kern w:val="0"/>
                      <w:sz w:val="24"/>
                      <w:szCs w:val="21"/>
                      <w:lang w:val="en-US" w:eastAsia="zh-CN" w:bidi="ar-SA"/>
                    </w:rPr>
                  </w:pPr>
                  <w:r>
                    <w:rPr>
                      <w:rFonts w:hint="eastAsia" w:ascii="Times New Roman" w:hAnsi="Times New Roman" w:eastAsia="Calibri" w:cs="楷体"/>
                      <w:bCs/>
                      <w:snapToGrid w:val="0"/>
                      <w:color w:val="000000"/>
                      <w:kern w:val="0"/>
                      <w:sz w:val="24"/>
                      <w:szCs w:val="21"/>
                      <w:lang w:val="en-US" w:eastAsia="zh-CN" w:bidi="ar-SA"/>
                    </w:rPr>
                    <w:t>注：本地化服务方案需说明办公场所或服务机构设立的具体位置。</w:t>
                  </w:r>
                </w:p>
                <w:p>
                  <w:pPr>
                    <w:spacing w:line="360" w:lineRule="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403" w:type="pct"/>
                  <w:vMerge w:val="continue"/>
                  <w:noWrap w:val="0"/>
                  <w:vAlign w:val="top"/>
                </w:tcPr>
                <w:p>
                  <w:pPr>
                    <w:snapToGrid w:val="0"/>
                    <w:jc w:val="center"/>
                    <w:rPr>
                      <w:rFonts w:hint="eastAsia"/>
                      <w:bCs/>
                      <w:kern w:val="0"/>
                      <w:szCs w:val="21"/>
                      <w:highlight w:val="none"/>
                    </w:rPr>
                  </w:pPr>
                </w:p>
              </w:tc>
              <w:tc>
                <w:tcPr>
                  <w:tcW w:w="604" w:type="pct"/>
                  <w:vMerge w:val="continue"/>
                  <w:noWrap w:val="0"/>
                  <w:vAlign w:val="top"/>
                </w:tcPr>
                <w:p>
                  <w:pPr>
                    <w:snapToGrid w:val="0"/>
                    <w:jc w:val="center"/>
                    <w:rPr>
                      <w:rFonts w:hint="eastAsia"/>
                      <w:bCs/>
                      <w:kern w:val="0"/>
                      <w:szCs w:val="21"/>
                      <w:highlight w:val="none"/>
                    </w:rPr>
                  </w:pPr>
                </w:p>
              </w:tc>
              <w:tc>
                <w:tcPr>
                  <w:tcW w:w="416" w:type="pct"/>
                  <w:noWrap w:val="0"/>
                  <w:tcMar>
                    <w:left w:w="75" w:type="dxa"/>
                  </w:tcMar>
                  <w:vAlign w:val="center"/>
                </w:tcPr>
                <w:p>
                  <w:pPr>
                    <w:snapToGrid w:val="0"/>
                    <w:jc w:val="center"/>
                    <w:rPr>
                      <w:rFonts w:hint="eastAsia"/>
                      <w:szCs w:val="21"/>
                      <w:highlight w:val="none"/>
                    </w:rPr>
                  </w:pPr>
                  <w:r>
                    <w:rPr>
                      <w:rFonts w:hint="eastAsia" w:ascii="宋体" w:hAnsi="宋体" w:cs="宋体"/>
                      <w:kern w:val="0"/>
                      <w:szCs w:val="21"/>
                    </w:rPr>
                    <w:t>实施程序方案</w:t>
                  </w:r>
                </w:p>
              </w:tc>
              <w:tc>
                <w:tcPr>
                  <w:tcW w:w="582" w:type="pct"/>
                  <w:noWrap w:val="0"/>
                  <w:vAlign w:val="center"/>
                </w:tcPr>
                <w:p>
                  <w:pPr>
                    <w:widowControl/>
                    <w:snapToGrid w:val="0"/>
                    <w:jc w:val="center"/>
                    <w:rPr>
                      <w:rFonts w:hint="eastAsia"/>
                      <w:kern w:val="0"/>
                      <w:szCs w:val="21"/>
                      <w:highlight w:val="none"/>
                    </w:rPr>
                  </w:pPr>
                  <w:r>
                    <w:rPr>
                      <w:rFonts w:hint="eastAsia"/>
                      <w:kern w:val="0"/>
                      <w:szCs w:val="21"/>
                      <w:highlight w:val="none"/>
                      <w:u w:val="single"/>
                      <w:lang w:val="en-US" w:eastAsia="zh-CN"/>
                    </w:rPr>
                    <w:t>10</w:t>
                  </w:r>
                  <w:r>
                    <w:rPr>
                      <w:rFonts w:hint="eastAsia"/>
                      <w:kern w:val="0"/>
                      <w:szCs w:val="21"/>
                      <w:highlight w:val="none"/>
                    </w:rPr>
                    <w:t>分</w:t>
                  </w:r>
                </w:p>
              </w:tc>
              <w:tc>
                <w:tcPr>
                  <w:tcW w:w="2992" w:type="pct"/>
                  <w:noWrap w:val="0"/>
                  <w:vAlign w:val="center"/>
                </w:tcPr>
                <w:p>
                  <w:pPr>
                    <w:autoSpaceDE w:val="0"/>
                    <w:autoSpaceDN w:val="0"/>
                    <w:spacing w:line="340" w:lineRule="exact"/>
                    <w:jc w:val="left"/>
                    <w:rPr>
                      <w:rFonts w:ascii="宋体" w:hAnsi="宋体"/>
                      <w:szCs w:val="21"/>
                    </w:rPr>
                  </w:pPr>
                  <w:r>
                    <w:rPr>
                      <w:rFonts w:hint="eastAsia" w:ascii="宋体" w:hAnsi="宋体" w:cs="宋体"/>
                      <w:kern w:val="0"/>
                      <w:szCs w:val="21"/>
                    </w:rPr>
                    <w:t>根据项目的特点和要求，拟定人员配备、审核程序、资料收集、信息反馈、沟通协调、完成时限等各项工作程序。</w:t>
                  </w:r>
                  <w:r>
                    <w:rPr>
                      <w:rFonts w:hint="eastAsia" w:ascii="宋体" w:hAnsi="宋体"/>
                      <w:szCs w:val="21"/>
                    </w:rPr>
                    <w:t>根据上述内容由评委会进行综合评分：完全满足上述要求，内容全面详细、科学合理的，得</w:t>
                  </w:r>
                  <w:r>
                    <w:rPr>
                      <w:rFonts w:hint="eastAsia" w:ascii="宋体" w:hAnsi="宋体" w:eastAsia="宋体"/>
                      <w:szCs w:val="21"/>
                      <w:lang w:val="en-US" w:eastAsia="zh-CN"/>
                    </w:rPr>
                    <w:t>8</w:t>
                  </w:r>
                  <w:r>
                    <w:rPr>
                      <w:rFonts w:ascii="宋体" w:hAnsi="宋体"/>
                      <w:szCs w:val="21"/>
                    </w:rPr>
                    <w:t>＜F≤</w:t>
                  </w:r>
                  <w:r>
                    <w:rPr>
                      <w:rFonts w:hint="eastAsia" w:ascii="宋体" w:hAnsi="宋体" w:eastAsia="宋体"/>
                      <w:szCs w:val="21"/>
                      <w:lang w:val="en-US" w:eastAsia="zh-CN"/>
                    </w:rPr>
                    <w:t>10</w:t>
                  </w:r>
                  <w:r>
                    <w:rPr>
                      <w:rFonts w:ascii="宋体" w:hAnsi="宋体"/>
                      <w:szCs w:val="21"/>
                    </w:rPr>
                    <w:t>分；</w:t>
                  </w:r>
                  <w:r>
                    <w:rPr>
                      <w:rFonts w:hint="eastAsia" w:ascii="宋体" w:hAnsi="宋体"/>
                      <w:szCs w:val="21"/>
                    </w:rPr>
                    <w:t>方案完整，具有一定的合理性和</w:t>
                  </w:r>
                  <w:r>
                    <w:rPr>
                      <w:rFonts w:ascii="宋体" w:hAnsi="宋体"/>
                      <w:szCs w:val="21"/>
                    </w:rPr>
                    <w:t>可行性的，得</w:t>
                  </w:r>
                  <w:r>
                    <w:rPr>
                      <w:rFonts w:hint="eastAsia" w:ascii="宋体" w:hAnsi="宋体" w:eastAsia="宋体"/>
                      <w:szCs w:val="21"/>
                      <w:lang w:val="en-US" w:eastAsia="zh-CN"/>
                    </w:rPr>
                    <w:t>6</w:t>
                  </w:r>
                  <w:r>
                    <w:rPr>
                      <w:rFonts w:ascii="宋体" w:hAnsi="宋体"/>
                      <w:szCs w:val="21"/>
                    </w:rPr>
                    <w:t>＜F≤</w:t>
                  </w:r>
                  <w:r>
                    <w:rPr>
                      <w:rFonts w:hint="eastAsia" w:ascii="宋体" w:hAnsi="宋体" w:eastAsia="宋体"/>
                      <w:szCs w:val="21"/>
                      <w:lang w:val="en-US" w:eastAsia="zh-CN"/>
                    </w:rPr>
                    <w:t>8</w:t>
                  </w:r>
                  <w:r>
                    <w:rPr>
                      <w:rFonts w:ascii="宋体" w:hAnsi="宋体"/>
                      <w:szCs w:val="21"/>
                    </w:rPr>
                    <w:t>分；</w:t>
                  </w:r>
                  <w:r>
                    <w:rPr>
                      <w:rFonts w:hint="eastAsia" w:ascii="宋体" w:hAnsi="宋体"/>
                      <w:szCs w:val="21"/>
                    </w:rPr>
                    <w:t>方案内容待完善</w:t>
                  </w:r>
                  <w:r>
                    <w:rPr>
                      <w:rFonts w:ascii="宋体" w:hAnsi="宋体"/>
                      <w:szCs w:val="21"/>
                    </w:rPr>
                    <w:t>，</w:t>
                  </w:r>
                  <w:r>
                    <w:rPr>
                      <w:rFonts w:hint="eastAsia" w:ascii="宋体" w:hAnsi="宋体"/>
                      <w:szCs w:val="21"/>
                    </w:rPr>
                    <w:t>合理性和可行性均一般的，</w:t>
                  </w:r>
                  <w:r>
                    <w:rPr>
                      <w:rFonts w:ascii="宋体" w:hAnsi="宋体"/>
                      <w:szCs w:val="21"/>
                    </w:rPr>
                    <w:t>得0＜F≤</w:t>
                  </w:r>
                  <w:r>
                    <w:rPr>
                      <w:rFonts w:hint="eastAsia" w:ascii="宋体" w:hAnsi="宋体" w:eastAsia="宋体"/>
                      <w:szCs w:val="21"/>
                      <w:lang w:val="en-US" w:eastAsia="zh-CN"/>
                    </w:rPr>
                    <w:t>6</w:t>
                  </w:r>
                  <w:r>
                    <w:rPr>
                      <w:rFonts w:ascii="宋体" w:hAnsi="宋体"/>
                      <w:szCs w:val="21"/>
                    </w:rPr>
                    <w:t>分；未提供相关内容的，不得分。</w:t>
                  </w:r>
                </w:p>
                <w:p>
                  <w:pPr>
                    <w:widowControl/>
                    <w:snapToGrid w:val="0"/>
                    <w:spacing w:line="360" w:lineRule="auto"/>
                    <w:jc w:val="left"/>
                    <w:rPr>
                      <w:rFonts w:hint="eastAsia"/>
                      <w:color w:val="000000"/>
                      <w:kern w:val="1"/>
                      <w:szCs w:val="21"/>
                      <w:highlight w:val="none"/>
                    </w:rPr>
                  </w:pPr>
                  <w:r>
                    <w:rPr>
                      <w:rFonts w:hint="eastAsia" w:ascii="宋体" w:hAnsi="宋体" w:cs="宋体"/>
                      <w:b/>
                      <w:bCs/>
                      <w:kern w:val="0"/>
                      <w:szCs w:val="21"/>
                    </w:rPr>
                    <w:t>注：F为各投标人本项指标得分。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403" w:type="pct"/>
                  <w:noWrap w:val="0"/>
                  <w:vAlign w:val="center"/>
                </w:tcPr>
                <w:p>
                  <w:pPr>
                    <w:spacing w:line="440" w:lineRule="exact"/>
                    <w:jc w:val="center"/>
                    <w:rPr>
                      <w:color w:val="auto"/>
                      <w:szCs w:val="21"/>
                      <w:highlight w:val="none"/>
                    </w:rPr>
                  </w:pPr>
                  <w:r>
                    <w:rPr>
                      <w:color w:val="auto"/>
                      <w:szCs w:val="21"/>
                      <w:highlight w:val="none"/>
                    </w:rPr>
                    <w:t>2.2.</w:t>
                  </w:r>
                  <w:r>
                    <w:rPr>
                      <w:rFonts w:hint="eastAsia"/>
                      <w:color w:val="auto"/>
                      <w:szCs w:val="21"/>
                      <w:highlight w:val="none"/>
                    </w:rPr>
                    <w:t>3</w:t>
                  </w:r>
                  <w:r>
                    <w:rPr>
                      <w:color w:val="auto"/>
                      <w:szCs w:val="21"/>
                      <w:highlight w:val="none"/>
                    </w:rPr>
                    <w:t>（3）</w:t>
                  </w:r>
                </w:p>
              </w:tc>
              <w:tc>
                <w:tcPr>
                  <w:tcW w:w="604" w:type="pct"/>
                  <w:noWrap w:val="0"/>
                  <w:vAlign w:val="center"/>
                </w:tcPr>
                <w:p>
                  <w:pPr>
                    <w:spacing w:line="440" w:lineRule="exact"/>
                    <w:jc w:val="center"/>
                    <w:rPr>
                      <w:color w:val="auto"/>
                      <w:szCs w:val="21"/>
                      <w:highlight w:val="none"/>
                    </w:rPr>
                  </w:pPr>
                  <w:r>
                    <w:rPr>
                      <w:color w:val="auto"/>
                      <w:szCs w:val="21"/>
                      <w:highlight w:val="none"/>
                    </w:rPr>
                    <w:t>投标报价评分标准</w:t>
                  </w:r>
                </w:p>
              </w:tc>
              <w:tc>
                <w:tcPr>
                  <w:tcW w:w="416" w:type="pct"/>
                  <w:noWrap w:val="0"/>
                  <w:tcMar>
                    <w:left w:w="75" w:type="dxa"/>
                  </w:tcMar>
                  <w:vAlign w:val="center"/>
                </w:tcPr>
                <w:p>
                  <w:pPr>
                    <w:snapToGrid w:val="0"/>
                    <w:jc w:val="center"/>
                    <w:rPr>
                      <w:rFonts w:hint="eastAsia"/>
                      <w:color w:val="auto"/>
                      <w:szCs w:val="21"/>
                      <w:highlight w:val="none"/>
                    </w:rPr>
                  </w:pPr>
                  <w:r>
                    <w:rPr>
                      <w:rFonts w:hint="eastAsia"/>
                      <w:color w:val="auto"/>
                      <w:szCs w:val="21"/>
                      <w:highlight w:val="none"/>
                    </w:rPr>
                    <w:t>评标价</w:t>
                  </w:r>
                </w:p>
              </w:tc>
              <w:tc>
                <w:tcPr>
                  <w:tcW w:w="582" w:type="pct"/>
                  <w:noWrap w:val="0"/>
                  <w:vAlign w:val="center"/>
                </w:tcPr>
                <w:p>
                  <w:pPr>
                    <w:widowControl/>
                    <w:snapToGrid w:val="0"/>
                    <w:jc w:val="center"/>
                    <w:rPr>
                      <w:rFonts w:hint="eastAsia"/>
                      <w:color w:val="auto"/>
                      <w:kern w:val="0"/>
                      <w:szCs w:val="21"/>
                      <w:highlight w:val="none"/>
                    </w:rPr>
                  </w:pPr>
                  <w:r>
                    <w:rPr>
                      <w:color w:val="auto"/>
                      <w:kern w:val="0"/>
                      <w:szCs w:val="21"/>
                      <w:highlight w:val="none"/>
                      <w:u w:val="single"/>
                    </w:rPr>
                    <w:t>30</w:t>
                  </w:r>
                  <w:r>
                    <w:rPr>
                      <w:rFonts w:hint="eastAsia"/>
                      <w:color w:val="auto"/>
                      <w:kern w:val="0"/>
                      <w:szCs w:val="21"/>
                      <w:highlight w:val="none"/>
                    </w:rPr>
                    <w:t>分</w:t>
                  </w:r>
                </w:p>
              </w:tc>
              <w:tc>
                <w:tcPr>
                  <w:tcW w:w="2992" w:type="pct"/>
                  <w:noWrap w:val="0"/>
                  <w:vAlign w:val="center"/>
                </w:tcPr>
                <w:p>
                  <w:pPr>
                    <w:autoSpaceDE w:val="0"/>
                    <w:autoSpaceDN w:val="0"/>
                    <w:adjustRightInd w:val="0"/>
                    <w:snapToGrid w:val="0"/>
                    <w:spacing w:line="360" w:lineRule="auto"/>
                    <w:jc w:val="left"/>
                    <w:rPr>
                      <w:rFonts w:hint="eastAsia"/>
                      <w:b/>
                      <w:color w:val="auto"/>
                      <w:spacing w:val="-2"/>
                      <w:szCs w:val="21"/>
                      <w:highlight w:val="none"/>
                    </w:rPr>
                  </w:pPr>
                </w:p>
                <w:p>
                  <w:pPr>
                    <w:numPr>
                      <w:ilvl w:val="0"/>
                      <w:numId w:val="0"/>
                    </w:numPr>
                    <w:autoSpaceDE w:val="0"/>
                    <w:autoSpaceDN w:val="0"/>
                    <w:adjustRightInd w:val="0"/>
                    <w:snapToGrid w:val="0"/>
                    <w:spacing w:line="360" w:lineRule="auto"/>
                    <w:ind w:leftChars="0" w:right="-15" w:rightChars="0"/>
                    <w:jc w:val="left"/>
                    <w:rPr>
                      <w:rFonts w:hint="eastAsia" w:ascii="宋体" w:hAnsi="宋体"/>
                      <w:color w:val="auto"/>
                      <w:spacing w:val="-2"/>
                      <w:szCs w:val="21"/>
                    </w:rPr>
                  </w:pPr>
                  <w:r>
                    <w:rPr>
                      <w:rFonts w:hint="eastAsia" w:ascii="宋体" w:hAnsi="宋体" w:eastAsia="宋体" w:cs="宋体"/>
                      <w:color w:val="auto"/>
                      <w:sz w:val="24"/>
                      <w:szCs w:val="24"/>
                      <w:lang w:val="en-US" w:eastAsia="zh-CN"/>
                    </w:rPr>
                    <w:t>1.2年</w:t>
                  </w:r>
                  <w:r>
                    <w:rPr>
                      <w:rFonts w:ascii="宋体" w:hAnsi="宋体" w:eastAsia="宋体" w:cs="宋体"/>
                      <w:color w:val="auto"/>
                      <w:sz w:val="24"/>
                      <w:szCs w:val="24"/>
                    </w:rPr>
                    <w:t>常年顾问</w:t>
                  </w:r>
                  <w:r>
                    <w:rPr>
                      <w:rFonts w:hint="eastAsia" w:ascii="宋体" w:hAnsi="宋体" w:eastAsia="宋体" w:cs="宋体"/>
                      <w:color w:val="auto"/>
                      <w:sz w:val="24"/>
                      <w:szCs w:val="24"/>
                      <w:lang w:eastAsia="zh-CN"/>
                    </w:rPr>
                    <w:t>咨询服务</w:t>
                  </w:r>
                  <w:r>
                    <w:rPr>
                      <w:rFonts w:ascii="宋体" w:hAnsi="宋体" w:eastAsia="宋体" w:cs="宋体"/>
                      <w:color w:val="auto"/>
                      <w:sz w:val="24"/>
                      <w:szCs w:val="24"/>
                    </w:rPr>
                    <w:t>费</w:t>
                  </w:r>
                  <w:r>
                    <w:rPr>
                      <w:rFonts w:hint="eastAsia" w:ascii="宋体" w:hAnsi="宋体"/>
                      <w:color w:val="auto"/>
                      <w:spacing w:val="-2"/>
                      <w:szCs w:val="21"/>
                    </w:rPr>
                    <w:t>投标报价评分得</w:t>
                  </w:r>
                  <w:r>
                    <w:rPr>
                      <w:rFonts w:hint="eastAsia" w:ascii="宋体" w:hAnsi="宋体" w:eastAsia="宋体"/>
                      <w:color w:val="auto"/>
                      <w:spacing w:val="-2"/>
                      <w:szCs w:val="21"/>
                      <w:lang w:val="en-US" w:eastAsia="zh-CN"/>
                    </w:rPr>
                    <w:t>20</w:t>
                  </w:r>
                  <w:r>
                    <w:rPr>
                      <w:rFonts w:hint="eastAsia" w:ascii="宋体" w:hAnsi="宋体"/>
                      <w:color w:val="auto"/>
                      <w:spacing w:val="-2"/>
                      <w:szCs w:val="21"/>
                    </w:rPr>
                    <w:t>分。</w:t>
                  </w:r>
                </w:p>
                <w:p>
                  <w:pPr>
                    <w:pStyle w:val="9"/>
                    <w:numPr>
                      <w:ilvl w:val="0"/>
                      <w:numId w:val="0"/>
                    </w:numPr>
                    <w:ind w:right="-15" w:rightChars="0"/>
                    <w:rPr>
                      <w:rFonts w:hint="eastAsia"/>
                      <w:b/>
                      <w:color w:val="auto"/>
                      <w:spacing w:val="-2"/>
                      <w:szCs w:val="21"/>
                      <w:highlight w:val="none"/>
                    </w:rPr>
                  </w:pPr>
                  <w:r>
                    <w:rPr>
                      <w:rFonts w:hint="eastAsia" w:ascii="宋体" w:hAnsi="宋体" w:eastAsia="宋体" w:cs="宋体"/>
                      <w:color w:val="auto"/>
                      <w:sz w:val="24"/>
                      <w:szCs w:val="24"/>
                      <w:lang w:val="en-US" w:eastAsia="zh-CN"/>
                    </w:rPr>
                    <w:t>2.案件代理费（包括</w:t>
                  </w:r>
                  <w:r>
                    <w:rPr>
                      <w:rFonts w:ascii="宋体" w:hAnsi="宋体" w:eastAsia="宋体" w:cs="宋体"/>
                      <w:color w:val="auto"/>
                      <w:sz w:val="24"/>
                      <w:szCs w:val="24"/>
                    </w:rPr>
                    <w:t>案件一般代理收费</w:t>
                  </w:r>
                  <w:r>
                    <w:rPr>
                      <w:rFonts w:hint="eastAsia" w:ascii="宋体" w:hAnsi="宋体" w:eastAsia="宋体" w:cs="宋体"/>
                      <w:color w:val="auto"/>
                      <w:sz w:val="24"/>
                      <w:szCs w:val="24"/>
                      <w:lang w:eastAsia="zh-CN"/>
                    </w:rPr>
                    <w:t>、</w:t>
                  </w:r>
                  <w:r>
                    <w:rPr>
                      <w:rFonts w:ascii="宋体" w:hAnsi="宋体" w:eastAsia="宋体" w:cs="宋体"/>
                      <w:color w:val="auto"/>
                      <w:sz w:val="24"/>
                      <w:szCs w:val="24"/>
                    </w:rPr>
                    <w:t>案件风险代理收费</w:t>
                  </w:r>
                  <w:r>
                    <w:rPr>
                      <w:rFonts w:hint="eastAsia" w:ascii="宋体" w:hAnsi="宋体" w:eastAsia="宋体" w:cs="宋体"/>
                      <w:color w:val="auto"/>
                      <w:sz w:val="24"/>
                      <w:szCs w:val="24"/>
                      <w:lang w:val="en-US" w:eastAsia="zh-CN"/>
                    </w:rPr>
                    <w:t>）折扣率</w:t>
                  </w:r>
                  <w:r>
                    <w:rPr>
                      <w:rFonts w:hint="eastAsia" w:ascii="宋体" w:hAnsi="宋体"/>
                      <w:color w:val="auto"/>
                      <w:spacing w:val="-2"/>
                      <w:szCs w:val="21"/>
                    </w:rPr>
                    <w:t>投标报价评分得</w:t>
                  </w:r>
                  <w:r>
                    <w:rPr>
                      <w:rFonts w:hint="eastAsia" w:ascii="宋体" w:hAnsi="宋体" w:eastAsia="宋体"/>
                      <w:color w:val="auto"/>
                      <w:spacing w:val="-2"/>
                      <w:szCs w:val="21"/>
                      <w:lang w:val="en-US" w:eastAsia="zh-CN"/>
                    </w:rPr>
                    <w:t>10</w:t>
                  </w:r>
                  <w:r>
                    <w:rPr>
                      <w:rFonts w:hint="eastAsia" w:ascii="宋体" w:hAnsi="宋体"/>
                      <w:color w:val="auto"/>
                      <w:spacing w:val="-2"/>
                      <w:szCs w:val="21"/>
                    </w:rPr>
                    <w:t>分。</w:t>
                  </w:r>
                </w:p>
                <w:p>
                  <w:pPr>
                    <w:autoSpaceDE w:val="0"/>
                    <w:autoSpaceDN w:val="0"/>
                    <w:adjustRightInd w:val="0"/>
                    <w:snapToGrid w:val="0"/>
                    <w:spacing w:line="360" w:lineRule="auto"/>
                    <w:jc w:val="left"/>
                    <w:rPr>
                      <w:rFonts w:hint="eastAsia"/>
                      <w:b/>
                      <w:color w:val="auto"/>
                      <w:spacing w:val="-2"/>
                      <w:szCs w:val="21"/>
                      <w:highlight w:val="none"/>
                    </w:rPr>
                  </w:pPr>
                  <w:r>
                    <w:rPr>
                      <w:rFonts w:hint="eastAsia"/>
                      <w:b/>
                      <w:color w:val="auto"/>
                      <w:spacing w:val="-2"/>
                      <w:szCs w:val="21"/>
                      <w:highlight w:val="none"/>
                    </w:rPr>
                    <w:t>（1）确定评标价</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评标价=投标函文字报价</w:t>
                  </w:r>
                </w:p>
                <w:p>
                  <w:pPr>
                    <w:autoSpaceDE w:val="0"/>
                    <w:autoSpaceDN w:val="0"/>
                    <w:adjustRightInd w:val="0"/>
                    <w:snapToGrid w:val="0"/>
                    <w:spacing w:line="360" w:lineRule="auto"/>
                    <w:jc w:val="left"/>
                    <w:rPr>
                      <w:rFonts w:hint="eastAsia"/>
                      <w:b/>
                      <w:color w:val="auto"/>
                      <w:spacing w:val="-2"/>
                      <w:szCs w:val="21"/>
                      <w:highlight w:val="none"/>
                    </w:rPr>
                  </w:pPr>
                  <w:r>
                    <w:rPr>
                      <w:rFonts w:hint="eastAsia"/>
                      <w:b/>
                      <w:color w:val="auto"/>
                      <w:spacing w:val="-2"/>
                      <w:szCs w:val="21"/>
                      <w:highlight w:val="none"/>
                    </w:rPr>
                    <w:t>（2）确定评标价平均值</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对所有通过报价文件初步评审的投标人投标函文字报价按照由低到高进行排序，去除n个较高投标函文字报价和n个较低投标函文字报价后，取其他投标函文字报价进行算术平均得出平均值。设通过报价文件初步评审的投标人数量为X，n按照以下规定取值：</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①当X≤5，n=0；</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②当5＜X≤10，n=1；</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③当10＜X≤20，n=2；</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④当20＜X≤30，n=3；以此类推。</w:t>
                  </w:r>
                </w:p>
                <w:p>
                  <w:pPr>
                    <w:autoSpaceDE w:val="0"/>
                    <w:autoSpaceDN w:val="0"/>
                    <w:adjustRightInd w:val="0"/>
                    <w:snapToGrid w:val="0"/>
                    <w:spacing w:line="360" w:lineRule="auto"/>
                    <w:jc w:val="left"/>
                    <w:rPr>
                      <w:rFonts w:hint="eastAsia"/>
                      <w:b/>
                      <w:color w:val="auto"/>
                      <w:spacing w:val="-2"/>
                      <w:szCs w:val="21"/>
                      <w:highlight w:val="none"/>
                    </w:rPr>
                  </w:pPr>
                  <w:r>
                    <w:rPr>
                      <w:rFonts w:hint="eastAsia"/>
                      <w:b/>
                      <w:color w:val="auto"/>
                      <w:spacing w:val="-2"/>
                      <w:szCs w:val="21"/>
                      <w:highlight w:val="none"/>
                    </w:rPr>
                    <w:t>（3）确定评标基准价</w:t>
                  </w:r>
                </w:p>
                <w:p>
                  <w:pPr>
                    <w:autoSpaceDE w:val="0"/>
                    <w:autoSpaceDN w:val="0"/>
                    <w:adjustRightInd w:val="0"/>
                    <w:snapToGrid w:val="0"/>
                    <w:spacing w:line="400" w:lineRule="exact"/>
                    <w:jc w:val="left"/>
                    <w:rPr>
                      <w:color w:val="auto"/>
                      <w:spacing w:val="-2"/>
                      <w:szCs w:val="21"/>
                      <w:highlight w:val="none"/>
                    </w:rPr>
                  </w:pPr>
                  <w:r>
                    <w:rPr>
                      <w:rFonts w:hint="eastAsia"/>
                      <w:color w:val="auto"/>
                      <w:spacing w:val="-2"/>
                      <w:szCs w:val="21"/>
                      <w:highlight w:val="none"/>
                    </w:rPr>
                    <w:t>评标基准价=评标价平均值*C值</w:t>
                  </w:r>
                </w:p>
                <w:p>
                  <w:pPr>
                    <w:autoSpaceDE w:val="0"/>
                    <w:autoSpaceDN w:val="0"/>
                    <w:adjustRightInd w:val="0"/>
                    <w:snapToGrid w:val="0"/>
                    <w:spacing w:line="400" w:lineRule="exact"/>
                    <w:jc w:val="left"/>
                    <w:rPr>
                      <w:rFonts w:hint="eastAsia"/>
                      <w:b/>
                      <w:bCs/>
                      <w:color w:val="auto"/>
                      <w:spacing w:val="-2"/>
                      <w:szCs w:val="21"/>
                      <w:highlight w:val="none"/>
                    </w:rPr>
                  </w:pPr>
                  <w:r>
                    <w:rPr>
                      <w:rFonts w:hint="eastAsia"/>
                      <w:b/>
                      <w:bCs/>
                      <w:color w:val="auto"/>
                      <w:spacing w:val="-2"/>
                      <w:szCs w:val="21"/>
                      <w:highlight w:val="none"/>
                    </w:rPr>
                    <w:t>备注：</w:t>
                  </w:r>
                  <w:r>
                    <w:rPr>
                      <w:rFonts w:hint="eastAsia"/>
                      <w:b/>
                      <w:color w:val="auto"/>
                      <w:szCs w:val="22"/>
                      <w:highlight w:val="none"/>
                    </w:rPr>
                    <w:t>评标价平均值及评标基准价计算结果均精确到小数点后两位，小数点后第三位四舍五入。</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C值确定如下：</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15"/>
                    <w:tblW w:w="47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47"/>
                    <w:gridCol w:w="3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2342" w:type="pct"/>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pPr>
                          <w:spacing w:line="600" w:lineRule="exact"/>
                          <w:ind w:firstLine="960" w:firstLineChars="400"/>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对应的C值</w:t>
                        </w:r>
                      </w:p>
                      <w:p>
                        <w:pPr>
                          <w:spacing w:line="600" w:lineRule="exact"/>
                          <w:ind w:firstLine="480" w:firstLineChars="200"/>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余数</w:t>
                        </w:r>
                      </w:p>
                    </w:tc>
                    <w:tc>
                      <w:tcPr>
                        <w:tcW w:w="2658" w:type="pct"/>
                        <w:tcBorders>
                          <w:top w:val="single" w:color="000000" w:sz="4" w:space="0"/>
                          <w:left w:val="single" w:color="auto"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2342"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0</w:t>
                        </w:r>
                      </w:p>
                    </w:tc>
                    <w:tc>
                      <w:tcPr>
                        <w:tcW w:w="2658" w:type="pct"/>
                        <w:tcBorders>
                          <w:top w:val="single" w:color="000000" w:sz="4" w:space="0"/>
                          <w:left w:val="single" w:color="auto" w:sz="4" w:space="0"/>
                          <w:bottom w:val="single" w:color="000000" w:sz="4" w:space="0"/>
                          <w:right w:val="single" w:color="000000" w:sz="4" w:space="0"/>
                        </w:tcBorders>
                        <w:noWrap w:val="0"/>
                        <w:vAlign w:val="center"/>
                      </w:tcPr>
                      <w:p>
                        <w:pPr>
                          <w:spacing w:line="600" w:lineRule="exact"/>
                          <w:ind w:firstLine="480" w:firstLineChars="200"/>
                          <w:jc w:val="center"/>
                          <w:rPr>
                            <w:rFonts w:ascii="仿宋_GB2312" w:hAnsi="Calibri" w:eastAsia="仿宋_GB2312"/>
                            <w:color w:val="auto"/>
                            <w:szCs w:val="21"/>
                            <w:highlight w:val="none"/>
                          </w:rPr>
                        </w:pPr>
                        <w:r>
                          <w:rPr>
                            <w:rFonts w:hint="eastAsia" w:ascii="仿宋_GB2312" w:hAnsi="Calibri" w:eastAsia="仿宋_GB2312"/>
                            <w:color w:val="auto"/>
                            <w:szCs w:val="21"/>
                            <w:highlight w:val="none"/>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342"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1</w:t>
                        </w:r>
                      </w:p>
                    </w:tc>
                    <w:tc>
                      <w:tcPr>
                        <w:tcW w:w="2658" w:type="pct"/>
                        <w:tcBorders>
                          <w:top w:val="single" w:color="000000" w:sz="4" w:space="0"/>
                          <w:left w:val="single" w:color="auto" w:sz="4" w:space="0"/>
                          <w:bottom w:val="single" w:color="000000" w:sz="4" w:space="0"/>
                          <w:right w:val="single" w:color="000000" w:sz="4" w:space="0"/>
                        </w:tcBorders>
                        <w:noWrap w:val="0"/>
                        <w:vAlign w:val="center"/>
                      </w:tcPr>
                      <w:p>
                        <w:pPr>
                          <w:spacing w:line="600" w:lineRule="exact"/>
                          <w:ind w:firstLine="480" w:firstLineChars="200"/>
                          <w:jc w:val="center"/>
                          <w:rPr>
                            <w:rFonts w:ascii="仿宋_GB2312" w:hAnsi="Calibri" w:eastAsia="仿宋_GB2312"/>
                            <w:color w:val="auto"/>
                            <w:szCs w:val="21"/>
                            <w:highlight w:val="none"/>
                          </w:rPr>
                        </w:pPr>
                        <w:r>
                          <w:rPr>
                            <w:rFonts w:hint="eastAsia" w:ascii="仿宋_GB2312" w:hAnsi="Calibri" w:eastAsia="仿宋_GB2312"/>
                            <w:color w:val="auto"/>
                            <w:szCs w:val="21"/>
                            <w:highlight w:val="none"/>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342"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2</w:t>
                        </w:r>
                      </w:p>
                    </w:tc>
                    <w:tc>
                      <w:tcPr>
                        <w:tcW w:w="2658" w:type="pct"/>
                        <w:tcBorders>
                          <w:top w:val="single" w:color="000000" w:sz="4" w:space="0"/>
                          <w:left w:val="single" w:color="auto"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2342"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3</w:t>
                        </w:r>
                      </w:p>
                    </w:tc>
                    <w:tc>
                      <w:tcPr>
                        <w:tcW w:w="2658" w:type="pct"/>
                        <w:tcBorders>
                          <w:top w:val="single" w:color="000000" w:sz="4" w:space="0"/>
                          <w:left w:val="single" w:color="auto"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2342" w:type="pct"/>
                        <w:tcBorders>
                          <w:top w:val="single" w:color="000000" w:sz="4" w:space="0"/>
                          <w:left w:val="single" w:color="000000"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4</w:t>
                        </w:r>
                      </w:p>
                    </w:tc>
                    <w:tc>
                      <w:tcPr>
                        <w:tcW w:w="2658" w:type="pct"/>
                        <w:tcBorders>
                          <w:top w:val="single" w:color="000000" w:sz="4" w:space="0"/>
                          <w:left w:val="single" w:color="auto" w:sz="4" w:space="0"/>
                          <w:bottom w:val="single" w:color="000000" w:sz="4" w:space="0"/>
                          <w:right w:val="single" w:color="000000" w:sz="4" w:space="0"/>
                        </w:tcBorders>
                        <w:noWrap w:val="0"/>
                        <w:vAlign w:val="center"/>
                      </w:tcPr>
                      <w:p>
                        <w:pPr>
                          <w:spacing w:line="600" w:lineRule="exact"/>
                          <w:ind w:firstLine="480" w:firstLineChars="200"/>
                          <w:jc w:val="center"/>
                          <w:rPr>
                            <w:rFonts w:hint="eastAsia" w:ascii="仿宋_GB2312" w:hAnsi="Calibri" w:eastAsia="仿宋_GB2312"/>
                            <w:color w:val="auto"/>
                            <w:szCs w:val="21"/>
                            <w:highlight w:val="none"/>
                          </w:rPr>
                        </w:pPr>
                        <w:r>
                          <w:rPr>
                            <w:rFonts w:hint="eastAsia" w:ascii="仿宋_GB2312" w:hAnsi="Calibri" w:eastAsia="仿宋_GB2312"/>
                            <w:color w:val="auto"/>
                            <w:szCs w:val="21"/>
                            <w:highlight w:val="none"/>
                          </w:rPr>
                          <w:t>0.99</w:t>
                        </w:r>
                      </w:p>
                    </w:tc>
                  </w:tr>
                </w:tbl>
                <w:p>
                  <w:pPr>
                    <w:autoSpaceDE w:val="0"/>
                    <w:autoSpaceDN w:val="0"/>
                    <w:adjustRightInd w:val="0"/>
                    <w:snapToGrid w:val="0"/>
                    <w:spacing w:line="360" w:lineRule="auto"/>
                    <w:jc w:val="left"/>
                    <w:rPr>
                      <w:rFonts w:hint="eastAsia"/>
                      <w:color w:val="auto"/>
                      <w:spacing w:val="-2"/>
                      <w:szCs w:val="21"/>
                      <w:highlight w:val="none"/>
                    </w:rPr>
                  </w:pP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评标基准价除存在计算错误之外，不随任何因素发生变化。</w:t>
                  </w:r>
                </w:p>
                <w:p>
                  <w:pPr>
                    <w:autoSpaceDE w:val="0"/>
                    <w:autoSpaceDN w:val="0"/>
                    <w:adjustRightInd w:val="0"/>
                    <w:snapToGrid w:val="0"/>
                    <w:spacing w:line="360" w:lineRule="auto"/>
                    <w:jc w:val="left"/>
                    <w:rPr>
                      <w:rFonts w:hint="eastAsia"/>
                      <w:b/>
                      <w:color w:val="auto"/>
                      <w:spacing w:val="-2"/>
                      <w:szCs w:val="21"/>
                      <w:highlight w:val="none"/>
                    </w:rPr>
                  </w:pPr>
                  <w:r>
                    <w:rPr>
                      <w:rFonts w:hint="eastAsia"/>
                      <w:b/>
                      <w:color w:val="auto"/>
                      <w:spacing w:val="-2"/>
                      <w:szCs w:val="21"/>
                      <w:highlight w:val="none"/>
                    </w:rPr>
                    <w:t>（4）评标价的偏差率计算</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偏差率=100%×（投标人评标价-评标基准价）/评标基准价</w:t>
                  </w:r>
                </w:p>
                <w:p>
                  <w:pPr>
                    <w:autoSpaceDE w:val="0"/>
                    <w:autoSpaceDN w:val="0"/>
                    <w:adjustRightInd w:val="0"/>
                    <w:snapToGrid w:val="0"/>
                    <w:spacing w:line="360" w:lineRule="auto"/>
                    <w:jc w:val="left"/>
                    <w:rPr>
                      <w:rFonts w:hint="eastAsia"/>
                      <w:color w:val="auto"/>
                      <w:spacing w:val="-2"/>
                      <w:szCs w:val="21"/>
                      <w:highlight w:val="none"/>
                    </w:rPr>
                  </w:pPr>
                  <w:r>
                    <w:rPr>
                      <w:rFonts w:hint="eastAsia"/>
                      <w:color w:val="auto"/>
                      <w:spacing w:val="-2"/>
                      <w:szCs w:val="21"/>
                      <w:highlight w:val="none"/>
                    </w:rPr>
                    <w:t>偏差率保留两位小数（小数点后第三位“四舍五入”），即为*.**%。</w:t>
                  </w:r>
                </w:p>
                <w:p>
                  <w:pPr>
                    <w:autoSpaceDE w:val="0"/>
                    <w:autoSpaceDN w:val="0"/>
                    <w:adjustRightInd w:val="0"/>
                    <w:snapToGrid w:val="0"/>
                    <w:spacing w:line="360" w:lineRule="auto"/>
                    <w:jc w:val="left"/>
                    <w:rPr>
                      <w:rFonts w:hint="eastAsia"/>
                      <w:b/>
                      <w:color w:val="auto"/>
                      <w:spacing w:val="-2"/>
                      <w:szCs w:val="21"/>
                      <w:highlight w:val="none"/>
                    </w:rPr>
                  </w:pPr>
                  <w:r>
                    <w:rPr>
                      <w:rFonts w:hint="eastAsia"/>
                      <w:b/>
                      <w:color w:val="auto"/>
                      <w:spacing w:val="-2"/>
                      <w:szCs w:val="21"/>
                      <w:highlight w:val="none"/>
                    </w:rPr>
                    <w:t>（5）评标价得分计算</w:t>
                  </w:r>
                </w:p>
                <w:p>
                  <w:pPr>
                    <w:spacing w:line="440" w:lineRule="exact"/>
                    <w:rPr>
                      <w:rFonts w:hint="eastAsia" w:ascii="Calibri" w:hAnsi="Calibri"/>
                      <w:color w:val="auto"/>
                      <w:szCs w:val="22"/>
                      <w:highlight w:val="none"/>
                    </w:rPr>
                  </w:pPr>
                  <w:r>
                    <w:rPr>
                      <w:rFonts w:hint="eastAsia" w:ascii="Calibri" w:hAnsi="Calibri"/>
                      <w:color w:val="auto"/>
                      <w:szCs w:val="22"/>
                      <w:highlight w:val="none"/>
                    </w:rPr>
                    <w:t>①当投标人评标价＞评标基准价，评标价得分=F-偏差率*100*E1</w:t>
                  </w:r>
                </w:p>
                <w:p>
                  <w:pPr>
                    <w:spacing w:line="440" w:lineRule="exact"/>
                    <w:rPr>
                      <w:rFonts w:hint="eastAsia" w:ascii="Calibri" w:hAnsi="Calibri"/>
                      <w:color w:val="auto"/>
                      <w:szCs w:val="22"/>
                      <w:highlight w:val="none"/>
                    </w:rPr>
                  </w:pPr>
                  <w:r>
                    <w:rPr>
                      <w:rFonts w:hint="eastAsia" w:ascii="Calibri" w:hAnsi="Calibri"/>
                      <w:color w:val="auto"/>
                      <w:szCs w:val="22"/>
                      <w:highlight w:val="none"/>
                    </w:rPr>
                    <w:t>②当投标人评标价≤评标基准价，评标价得分=F+偏差率*100*E2</w:t>
                  </w:r>
                </w:p>
                <w:p>
                  <w:pPr>
                    <w:spacing w:line="440" w:lineRule="exact"/>
                    <w:rPr>
                      <w:rFonts w:hint="eastAsia" w:ascii="Calibri" w:hAnsi="Calibri"/>
                      <w:color w:val="auto"/>
                      <w:szCs w:val="22"/>
                      <w:highlight w:val="none"/>
                    </w:rPr>
                  </w:pPr>
                  <w:r>
                    <w:rPr>
                      <w:rFonts w:hint="eastAsia" w:ascii="Calibri" w:hAnsi="Calibri"/>
                      <w:color w:val="auto"/>
                      <w:szCs w:val="22"/>
                      <w:highlight w:val="none"/>
                    </w:rPr>
                    <w:t>其中:F是评标价所占的权重分值。E1是评标价每高于评标基准价一个百分点的扣分值，E2是评标价每低于评标基准价一个百分点的扣分值。本项目E1=1,E2=0.5。</w:t>
                  </w:r>
                </w:p>
                <w:p>
                  <w:pPr>
                    <w:autoSpaceDE w:val="0"/>
                    <w:autoSpaceDN w:val="0"/>
                    <w:adjustRightInd w:val="0"/>
                    <w:snapToGrid w:val="0"/>
                    <w:spacing w:line="360" w:lineRule="auto"/>
                    <w:jc w:val="left"/>
                    <w:rPr>
                      <w:color w:val="auto"/>
                      <w:spacing w:val="-2"/>
                      <w:szCs w:val="21"/>
                      <w:highlight w:val="none"/>
                    </w:rPr>
                  </w:pPr>
                  <w:r>
                    <w:rPr>
                      <w:rFonts w:hint="eastAsia" w:ascii="Calibri" w:hAnsi="Calibri"/>
                      <w:color w:val="auto"/>
                      <w:szCs w:val="22"/>
                      <w:highlight w:val="none"/>
                    </w:rPr>
                    <w:t>当评标价得分为负时，均按0分计算。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5000" w:type="pct"/>
                  <w:gridSpan w:val="5"/>
                  <w:noWrap w:val="0"/>
                  <w:vAlign w:val="center"/>
                </w:tcPr>
                <w:p>
                  <w:pPr>
                    <w:widowControl/>
                    <w:snapToGrid w:val="0"/>
                    <w:jc w:val="left"/>
                    <w:rPr>
                      <w:rFonts w:hint="eastAsia"/>
                      <w:b/>
                      <w:kern w:val="0"/>
                      <w:szCs w:val="21"/>
                      <w:highlight w:val="none"/>
                    </w:rPr>
                  </w:pPr>
                  <w:r>
                    <w:rPr>
                      <w:rFonts w:hint="eastAsia"/>
                      <w:b/>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5"/>
                  <w:noWrap w:val="0"/>
                  <w:vAlign w:val="center"/>
                </w:tcPr>
                <w:p>
                  <w:pPr>
                    <w:adjustRightInd w:val="0"/>
                    <w:snapToGrid w:val="0"/>
                    <w:ind w:right="-38"/>
                    <w:rPr>
                      <w:rFonts w:hint="eastAsia"/>
                      <w:color w:val="000000"/>
                      <w:kern w:val="1"/>
                      <w:szCs w:val="21"/>
                      <w:highlight w:val="none"/>
                    </w:rPr>
                  </w:pPr>
                  <w:r>
                    <w:rPr>
                      <w:color w:val="000000"/>
                      <w:szCs w:val="21"/>
                      <w:highlight w:val="none"/>
                    </w:rPr>
                    <w:t>/</w:t>
                  </w:r>
                </w:p>
              </w:tc>
            </w:tr>
          </w:tbl>
          <w:p>
            <w:pPr>
              <w:keepNext/>
              <w:keepLines/>
              <w:spacing w:before="100" w:after="240" w:afterLines="100" w:line="400" w:lineRule="exact"/>
              <w:outlineLvl w:val="1"/>
              <w:rPr>
                <w:rFonts w:hint="eastAsia" w:eastAsia="黑体" w:cs="宋体"/>
                <w:sz w:val="28"/>
                <w:szCs w:val="20"/>
                <w:highlight w:val="none"/>
              </w:rPr>
            </w:pPr>
            <w:r>
              <w:rPr>
                <w:rFonts w:eastAsia="黑体" w:cs="宋体"/>
                <w:sz w:val="28"/>
                <w:szCs w:val="20"/>
                <w:highlight w:val="none"/>
              </w:rPr>
              <w:br w:type="page"/>
            </w:r>
            <w:bookmarkStart w:id="223" w:name="_Toc70580529"/>
            <w:r>
              <w:rPr>
                <w:rFonts w:hint="eastAsia" w:eastAsia="黑体" w:cs="宋体"/>
                <w:sz w:val="28"/>
                <w:szCs w:val="20"/>
                <w:highlight w:val="none"/>
              </w:rPr>
              <w:t>1. 评标方法</w:t>
            </w:r>
            <w:bookmarkEnd w:id="223"/>
          </w:p>
          <w:p>
            <w:pPr>
              <w:snapToGrid w:val="0"/>
              <w:spacing w:line="360" w:lineRule="auto"/>
              <w:ind w:firstLine="480" w:firstLineChars="200"/>
              <w:rPr>
                <w:rFonts w:hint="eastAsia" w:eastAsia="黑体"/>
                <w:sz w:val="24"/>
                <w:highlight w:val="none"/>
              </w:rPr>
            </w:pPr>
            <w:r>
              <w:rPr>
                <w:rFonts w:hint="eastAsia"/>
                <w:highlight w:val="none"/>
              </w:rPr>
              <w:t>本次评标采用综合评估法（一次平均）。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以技术得分高的优先；如果技术得分也相等</w:t>
            </w:r>
            <w:r>
              <w:rPr>
                <w:rFonts w:hint="eastAsia"/>
                <w:color w:val="984806"/>
                <w:highlight w:val="none"/>
              </w:rPr>
              <w:t>，</w:t>
            </w:r>
            <w:r>
              <w:rPr>
                <w:rFonts w:hint="eastAsia"/>
                <w:color w:val="000000"/>
                <w:szCs w:val="21"/>
                <w:highlight w:val="none"/>
              </w:rPr>
              <w:t>按照评标办法前附表中的规定确定中标候选人顺序。</w:t>
            </w:r>
          </w:p>
          <w:p>
            <w:pPr>
              <w:spacing w:line="360" w:lineRule="auto"/>
              <w:ind w:firstLine="480" w:firstLineChars="200"/>
              <w:rPr>
                <w:rFonts w:hint="eastAsia"/>
                <w:color w:val="000000"/>
                <w:szCs w:val="21"/>
                <w:highlight w:val="none"/>
              </w:rPr>
            </w:pPr>
            <w:r>
              <w:rPr>
                <w:rFonts w:hint="eastAsia"/>
                <w:color w:val="000000"/>
                <w:szCs w:val="21"/>
                <w:highlight w:val="none"/>
              </w:rPr>
              <w:t>本次评标的先后顺序及最多可中标段数量详见评标办法前附表</w:t>
            </w:r>
            <w:r>
              <w:rPr>
                <w:highlight w:val="none"/>
                <w:vertAlign w:val="superscript"/>
              </w:rPr>
              <w:footnoteReference w:id="0"/>
            </w:r>
            <w:r>
              <w:rPr>
                <w:rFonts w:hint="eastAsia"/>
                <w:color w:val="000000"/>
                <w:szCs w:val="21"/>
                <w:highlight w:val="none"/>
              </w:rPr>
              <w:t>。被推荐为第一中标候选人的标段个数已达到最多允许中标的标段个数的投标人，在后续标段不再被推荐为中标候选人，但仍参与评审。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hint="eastAsia"/>
                <w:highlight w:val="none"/>
              </w:rPr>
            </w:pPr>
            <w:r>
              <w:rPr>
                <w:rFonts w:hint="eastAsia"/>
                <w:color w:val="000000"/>
                <w:szCs w:val="21"/>
                <w:highlight w:val="none"/>
              </w:rPr>
              <w:t>评标结束后如有某标段的第一中标候选人发生变化的情况，不影响其他标段排序。</w:t>
            </w:r>
          </w:p>
          <w:p>
            <w:pPr>
              <w:keepNext/>
              <w:keepLines/>
              <w:spacing w:before="100" w:line="400" w:lineRule="exact"/>
              <w:outlineLvl w:val="1"/>
              <w:rPr>
                <w:rFonts w:hint="eastAsia" w:eastAsia="黑体" w:cs="宋体"/>
                <w:sz w:val="28"/>
                <w:szCs w:val="20"/>
                <w:highlight w:val="none"/>
              </w:rPr>
            </w:pPr>
            <w:bookmarkStart w:id="224" w:name="_Toc70580530"/>
            <w:r>
              <w:rPr>
                <w:rFonts w:hint="eastAsia" w:eastAsia="黑体" w:cs="宋体"/>
                <w:sz w:val="28"/>
                <w:szCs w:val="20"/>
                <w:highlight w:val="none"/>
              </w:rPr>
              <w:t>2. 评审标准</w:t>
            </w:r>
            <w:bookmarkEnd w:id="224"/>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2.1 初步评审标准</w:t>
            </w:r>
          </w:p>
          <w:p>
            <w:pPr>
              <w:snapToGrid w:val="0"/>
              <w:spacing w:line="360" w:lineRule="auto"/>
              <w:ind w:firstLine="480" w:firstLineChars="200"/>
              <w:rPr>
                <w:rFonts w:hint="eastAsia"/>
                <w:highlight w:val="none"/>
              </w:rPr>
            </w:pPr>
            <w:r>
              <w:rPr>
                <w:rFonts w:hint="eastAsia"/>
                <w:highlight w:val="none"/>
              </w:rPr>
              <w:t>2.1.</w:t>
            </w:r>
            <w:r>
              <w:rPr>
                <w:rFonts w:hint="eastAsia"/>
                <w:color w:val="000000"/>
                <w:highlight w:val="none"/>
              </w:rPr>
              <w:t>1 形式评审标</w:t>
            </w:r>
            <w:r>
              <w:rPr>
                <w:rFonts w:hint="eastAsia"/>
                <w:highlight w:val="none"/>
              </w:rPr>
              <w:t>准：见评标办法前附表。</w:t>
            </w:r>
          </w:p>
          <w:p>
            <w:pPr>
              <w:snapToGrid w:val="0"/>
              <w:spacing w:line="360" w:lineRule="auto"/>
              <w:ind w:firstLine="480" w:firstLineChars="200"/>
              <w:rPr>
                <w:rFonts w:hint="eastAsia"/>
                <w:highlight w:val="none"/>
              </w:rPr>
            </w:pPr>
            <w:r>
              <w:rPr>
                <w:rFonts w:hint="eastAsia"/>
                <w:highlight w:val="none"/>
              </w:rPr>
              <w:t>2.1.2 资格评审标准：见评标办法前附表。</w:t>
            </w:r>
          </w:p>
          <w:p>
            <w:pPr>
              <w:snapToGrid w:val="0"/>
              <w:spacing w:line="360" w:lineRule="auto"/>
              <w:ind w:firstLine="480" w:firstLineChars="200"/>
              <w:rPr>
                <w:rFonts w:hint="eastAsia"/>
                <w:highlight w:val="none"/>
              </w:rPr>
            </w:pPr>
            <w:r>
              <w:rPr>
                <w:rFonts w:hint="eastAsia"/>
                <w:highlight w:val="none"/>
              </w:rPr>
              <w:t>2.1.3 响应性评审标准：见评标办法前附表。</w:t>
            </w:r>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2.2 分值构成与评分标准</w:t>
            </w:r>
          </w:p>
          <w:p>
            <w:pPr>
              <w:snapToGrid w:val="0"/>
              <w:spacing w:line="360" w:lineRule="auto"/>
              <w:ind w:firstLine="480" w:firstLineChars="200"/>
              <w:rPr>
                <w:highlight w:val="none"/>
              </w:rPr>
            </w:pPr>
            <w:r>
              <w:rPr>
                <w:highlight w:val="none"/>
              </w:rPr>
              <w:t>2.2.1分值构成</w:t>
            </w:r>
          </w:p>
          <w:p>
            <w:pPr>
              <w:snapToGrid w:val="0"/>
              <w:spacing w:line="360" w:lineRule="auto"/>
              <w:ind w:firstLine="480" w:firstLineChars="200"/>
              <w:rPr>
                <w:highlight w:val="none"/>
              </w:rPr>
            </w:pPr>
            <w:r>
              <w:rPr>
                <w:highlight w:val="none"/>
              </w:rPr>
              <w:t>（1）商务部分：见评标办法前附表；</w:t>
            </w:r>
          </w:p>
          <w:p>
            <w:pPr>
              <w:snapToGrid w:val="0"/>
              <w:spacing w:line="360" w:lineRule="auto"/>
              <w:ind w:firstLine="480" w:firstLineChars="200"/>
              <w:rPr>
                <w:highlight w:val="none"/>
              </w:rPr>
            </w:pPr>
            <w:r>
              <w:rPr>
                <w:highlight w:val="none"/>
              </w:rPr>
              <w:t>（2）技术部分：见评标办法前附表；</w:t>
            </w:r>
          </w:p>
          <w:p>
            <w:pPr>
              <w:snapToGrid w:val="0"/>
              <w:spacing w:line="360" w:lineRule="auto"/>
              <w:ind w:firstLine="480" w:firstLineChars="200"/>
              <w:rPr>
                <w:highlight w:val="none"/>
              </w:rPr>
            </w:pPr>
            <w:r>
              <w:rPr>
                <w:highlight w:val="none"/>
              </w:rPr>
              <w:t>（3）投标报价：见评标办法前附表。</w:t>
            </w:r>
          </w:p>
          <w:p>
            <w:pPr>
              <w:snapToGrid w:val="0"/>
              <w:spacing w:line="360" w:lineRule="auto"/>
              <w:ind w:firstLine="480" w:firstLineChars="200"/>
              <w:rPr>
                <w:highlight w:val="none"/>
              </w:rPr>
            </w:pPr>
            <w:r>
              <w:rPr>
                <w:highlight w:val="none"/>
              </w:rPr>
              <w:t>2.2.2评标基准价计算</w:t>
            </w:r>
          </w:p>
          <w:p>
            <w:pPr>
              <w:snapToGrid w:val="0"/>
              <w:spacing w:line="360" w:lineRule="auto"/>
              <w:ind w:firstLine="480" w:firstLineChars="200"/>
              <w:rPr>
                <w:highlight w:val="none"/>
              </w:rPr>
            </w:pPr>
            <w:r>
              <w:rPr>
                <w:highlight w:val="none"/>
              </w:rPr>
              <w:t>评标基准价计算方法：见评标办法前附表。</w:t>
            </w:r>
          </w:p>
          <w:p>
            <w:pPr>
              <w:snapToGrid w:val="0"/>
              <w:spacing w:line="360" w:lineRule="auto"/>
              <w:ind w:firstLine="480" w:firstLineChars="200"/>
              <w:rPr>
                <w:highlight w:val="none"/>
              </w:rPr>
            </w:pPr>
            <w:r>
              <w:rPr>
                <w:highlight w:val="none"/>
              </w:rPr>
              <w:t>2.2.</w:t>
            </w:r>
            <w:r>
              <w:rPr>
                <w:rFonts w:hint="eastAsia"/>
                <w:highlight w:val="none"/>
              </w:rPr>
              <w:t>3</w:t>
            </w:r>
            <w:r>
              <w:rPr>
                <w:highlight w:val="none"/>
              </w:rPr>
              <w:t>评分标准</w:t>
            </w:r>
          </w:p>
          <w:p>
            <w:pPr>
              <w:snapToGrid w:val="0"/>
              <w:spacing w:line="360" w:lineRule="auto"/>
              <w:ind w:firstLine="480" w:firstLineChars="200"/>
              <w:rPr>
                <w:highlight w:val="none"/>
              </w:rPr>
            </w:pPr>
            <w:r>
              <w:rPr>
                <w:highlight w:val="none"/>
              </w:rPr>
              <w:t>（1）商务评分标准：见评标办法前附表；</w:t>
            </w:r>
          </w:p>
          <w:p>
            <w:pPr>
              <w:snapToGrid w:val="0"/>
              <w:spacing w:line="360" w:lineRule="auto"/>
              <w:ind w:firstLine="480" w:firstLineChars="200"/>
              <w:rPr>
                <w:highlight w:val="none"/>
              </w:rPr>
            </w:pPr>
            <w:r>
              <w:rPr>
                <w:highlight w:val="none"/>
              </w:rPr>
              <w:t>（2）技术评分标准：见评标办法前附表；</w:t>
            </w:r>
          </w:p>
          <w:p>
            <w:pPr>
              <w:snapToGrid w:val="0"/>
              <w:spacing w:line="360" w:lineRule="auto"/>
              <w:ind w:firstLine="480" w:firstLineChars="200"/>
              <w:rPr>
                <w:highlight w:val="none"/>
              </w:rPr>
            </w:pPr>
            <w:r>
              <w:rPr>
                <w:highlight w:val="none"/>
              </w:rPr>
              <w:t>（3）投标报价评分标准：见评标办法前附表</w:t>
            </w:r>
            <w:r>
              <w:rPr>
                <w:rFonts w:hint="eastAsia"/>
                <w:highlight w:val="none"/>
              </w:rPr>
              <w:t>。</w:t>
            </w:r>
          </w:p>
          <w:p>
            <w:pPr>
              <w:keepNext/>
              <w:keepLines/>
              <w:spacing w:before="100" w:line="400" w:lineRule="exact"/>
              <w:outlineLvl w:val="1"/>
              <w:rPr>
                <w:rFonts w:hint="eastAsia" w:eastAsia="黑体" w:cs="宋体"/>
                <w:sz w:val="28"/>
                <w:szCs w:val="20"/>
                <w:highlight w:val="none"/>
              </w:rPr>
            </w:pPr>
            <w:bookmarkStart w:id="225" w:name="_Toc70580531"/>
            <w:r>
              <w:rPr>
                <w:rFonts w:hint="eastAsia" w:eastAsia="黑体" w:cs="宋体"/>
                <w:sz w:val="28"/>
                <w:szCs w:val="20"/>
                <w:highlight w:val="none"/>
              </w:rPr>
              <w:t>3. 评标程序</w:t>
            </w:r>
            <w:bookmarkEnd w:id="225"/>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3.1 商务及技术文件初步评审</w:t>
            </w:r>
          </w:p>
          <w:p>
            <w:pPr>
              <w:spacing w:line="400" w:lineRule="exact"/>
              <w:ind w:firstLine="480" w:firstLineChars="200"/>
              <w:rPr>
                <w:rFonts w:hint="eastAsia"/>
                <w:szCs w:val="21"/>
                <w:highlight w:val="none"/>
              </w:rPr>
            </w:pPr>
            <w:r>
              <w:rPr>
                <w:rFonts w:hint="eastAsia"/>
                <w:color w:val="000000"/>
                <w:szCs w:val="21"/>
                <w:highlight w:val="none"/>
              </w:rPr>
              <w:t>评标委员会依据本章第2.1.1项、第2.1.2项、第2.1.3项规定的评审标准对商务及技术文件进行初步评审。有一项不符合评审标准的，评标委员会应否决其投标。</w:t>
            </w:r>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3.2 报价文件初步评审</w:t>
            </w:r>
          </w:p>
          <w:p>
            <w:pPr>
              <w:snapToGrid w:val="0"/>
              <w:spacing w:line="360" w:lineRule="auto"/>
              <w:ind w:firstLine="480" w:firstLineChars="200"/>
              <w:rPr>
                <w:rFonts w:hint="eastAsia"/>
                <w:highlight w:val="none"/>
              </w:rPr>
            </w:pPr>
            <w:r>
              <w:rPr>
                <w:rFonts w:hint="eastAsia"/>
                <w:highlight w:val="none"/>
              </w:rPr>
              <w:t xml:space="preserve">3.2.1 </w:t>
            </w:r>
            <w:r>
              <w:rPr>
                <w:rFonts w:hint="eastAsia"/>
                <w:color w:val="000000"/>
                <w:szCs w:val="21"/>
                <w:highlight w:val="none"/>
              </w:rPr>
              <w:t>评标委员会依据本章第2.1.1款、第2.1.3款规定的评审标准对报价文件进行评审。有一项不符合评审标准的，评标委员会应否决其投标。</w:t>
            </w:r>
          </w:p>
          <w:p>
            <w:pPr>
              <w:snapToGrid w:val="0"/>
              <w:spacing w:line="360" w:lineRule="auto"/>
              <w:ind w:firstLine="480" w:firstLineChars="200"/>
              <w:rPr>
                <w:rFonts w:hint="eastAsia"/>
                <w:color w:val="000000"/>
                <w:highlight w:val="none"/>
              </w:rPr>
            </w:pPr>
            <w:r>
              <w:rPr>
                <w:rFonts w:hint="eastAsia"/>
                <w:highlight w:val="none"/>
              </w:rPr>
              <w:t xml:space="preserve">3.2.2 </w:t>
            </w:r>
            <w:r>
              <w:rPr>
                <w:rFonts w:hint="eastAsia"/>
                <w:color w:val="000000"/>
                <w:highlight w:val="none"/>
              </w:rPr>
              <w:t xml:space="preserve">投标报价有算术错误及其他错误的，评标委员会按以下原则对投标报价进行修正，并要求投标人书面澄清确认。投标人拒不澄清确认的，评标委员会应当否决其投标： </w:t>
            </w:r>
          </w:p>
          <w:p>
            <w:pPr>
              <w:snapToGrid w:val="0"/>
              <w:spacing w:line="360" w:lineRule="auto"/>
              <w:ind w:firstLine="480" w:firstLineChars="200"/>
              <w:rPr>
                <w:rFonts w:hint="eastAsia"/>
                <w:color w:val="000000"/>
                <w:highlight w:val="none"/>
              </w:rPr>
            </w:pPr>
            <w:r>
              <w:rPr>
                <w:rFonts w:hint="eastAsia"/>
                <w:color w:val="000000"/>
                <w:highlight w:val="none"/>
              </w:rPr>
              <w:t>（1）投标文件中的大写金额与小写金额不一致的，以大写金额为准；</w:t>
            </w:r>
          </w:p>
          <w:p>
            <w:pPr>
              <w:snapToGrid w:val="0"/>
              <w:spacing w:line="360" w:lineRule="auto"/>
              <w:ind w:firstLine="480" w:firstLineChars="200"/>
              <w:rPr>
                <w:rFonts w:hint="eastAsia"/>
                <w:color w:val="000000"/>
                <w:highlight w:val="none"/>
              </w:rPr>
            </w:pPr>
            <w:r>
              <w:rPr>
                <w:rFonts w:hint="eastAsia"/>
                <w:color w:val="000000"/>
                <w:highlight w:val="none"/>
              </w:rPr>
              <w:t>（2）总价金额与单价金额不一致的，以单价金额为准，但单价金额小数点有明显错误的除外；</w:t>
            </w:r>
          </w:p>
          <w:p>
            <w:pPr>
              <w:snapToGrid w:val="0"/>
              <w:spacing w:line="360" w:lineRule="auto"/>
              <w:ind w:firstLine="480" w:firstLineChars="200"/>
              <w:rPr>
                <w:rFonts w:hint="eastAsia"/>
                <w:color w:val="000000"/>
                <w:highlight w:val="none"/>
              </w:rPr>
            </w:pPr>
            <w:r>
              <w:rPr>
                <w:rFonts w:hint="eastAsia"/>
                <w:color w:val="000000"/>
                <w:highlight w:val="none"/>
              </w:rPr>
              <w:t>（3）投标报价为各分项报价金额之和，投标报价与分项报价的合价不一致的，应以各分项合价累计数为准，修正投标报价；</w:t>
            </w:r>
          </w:p>
          <w:p>
            <w:pPr>
              <w:snapToGrid w:val="0"/>
              <w:spacing w:line="360" w:lineRule="auto"/>
              <w:ind w:firstLine="480" w:firstLineChars="200"/>
              <w:rPr>
                <w:rFonts w:hint="eastAsia"/>
                <w:color w:val="000000"/>
                <w:highlight w:val="none"/>
              </w:rPr>
            </w:pPr>
            <w:r>
              <w:rPr>
                <w:rFonts w:hint="eastAsia"/>
                <w:color w:val="000000"/>
                <w:highlight w:val="none"/>
              </w:rPr>
              <w:t>（4）如果分项报价中存在缺漏项，则视为缺漏项价格已包含在其他分项报价之中。</w:t>
            </w:r>
          </w:p>
          <w:p>
            <w:pPr>
              <w:snapToGrid w:val="0"/>
              <w:spacing w:line="360" w:lineRule="auto"/>
              <w:ind w:firstLine="480" w:firstLineChars="200"/>
              <w:rPr>
                <w:rFonts w:hint="eastAsia"/>
                <w:color w:val="000000"/>
                <w:highlight w:val="none"/>
              </w:rPr>
            </w:pPr>
            <w:r>
              <w:rPr>
                <w:rFonts w:hint="eastAsia"/>
                <w:color w:val="000000"/>
                <w:highlight w:val="none"/>
              </w:rPr>
              <w:t>3.2.3投标人投标报价明显缺乏竞争性的，评标委员会可以否决所有投标。</w:t>
            </w:r>
          </w:p>
          <w:p>
            <w:pPr>
              <w:keepNext/>
              <w:keepLines/>
              <w:spacing w:before="120" w:after="120" w:line="360" w:lineRule="auto"/>
              <w:jc w:val="left"/>
              <w:outlineLvl w:val="2"/>
              <w:rPr>
                <w:rFonts w:eastAsia="黑体"/>
                <w:bCs/>
                <w:sz w:val="24"/>
                <w:highlight w:val="none"/>
              </w:rPr>
            </w:pPr>
            <w:bookmarkStart w:id="226" w:name="_Toc501460719"/>
            <w:r>
              <w:rPr>
                <w:rFonts w:eastAsia="黑体"/>
                <w:bCs/>
                <w:sz w:val="24"/>
                <w:highlight w:val="none"/>
              </w:rPr>
              <w:t>3.</w:t>
            </w:r>
            <w:r>
              <w:rPr>
                <w:rFonts w:hint="eastAsia" w:eastAsia="黑体"/>
                <w:bCs/>
                <w:sz w:val="24"/>
                <w:highlight w:val="none"/>
              </w:rPr>
              <w:t>3</w:t>
            </w:r>
            <w:r>
              <w:rPr>
                <w:rFonts w:eastAsia="黑体"/>
                <w:bCs/>
                <w:sz w:val="24"/>
                <w:highlight w:val="none"/>
              </w:rPr>
              <w:t xml:space="preserve"> 详细评审</w:t>
            </w:r>
            <w:bookmarkEnd w:id="226"/>
          </w:p>
          <w:p>
            <w:pPr>
              <w:spacing w:line="400" w:lineRule="exact"/>
              <w:ind w:firstLine="480" w:firstLineChars="200"/>
              <w:rPr>
                <w:color w:val="000000"/>
                <w:highlight w:val="none"/>
              </w:rPr>
            </w:pPr>
            <w:r>
              <w:rPr>
                <w:color w:val="000000"/>
                <w:highlight w:val="none"/>
              </w:rPr>
              <w:t>3.</w:t>
            </w:r>
            <w:r>
              <w:rPr>
                <w:rFonts w:hint="eastAsia"/>
                <w:color w:val="000000"/>
                <w:highlight w:val="none"/>
              </w:rPr>
              <w:t>3</w:t>
            </w:r>
            <w:r>
              <w:rPr>
                <w:color w:val="000000"/>
                <w:highlight w:val="none"/>
              </w:rPr>
              <w:t>.1评标委员会按本章第2.2款规定的量化因素和分值进行打分，并计算出综合评估得分。</w:t>
            </w:r>
            <w:r>
              <w:rPr>
                <w:rFonts w:hint="eastAsia"/>
                <w:highlight w:val="none"/>
              </w:rPr>
              <w:t>评标委员会成员总数为5人时，投标人本章第2.2.</w:t>
            </w:r>
            <w:r>
              <w:rPr>
                <w:highlight w:val="none"/>
              </w:rPr>
              <w:t>3</w:t>
            </w:r>
            <w:r>
              <w:rPr>
                <w:rFonts w:hint="eastAsia"/>
                <w:highlight w:val="none"/>
              </w:rPr>
              <w:t>项第（1）目~第（</w:t>
            </w:r>
            <w:r>
              <w:rPr>
                <w:highlight w:val="none"/>
              </w:rPr>
              <w:t>3</w:t>
            </w:r>
            <w:r>
              <w:rPr>
                <w:rFonts w:hint="eastAsia"/>
                <w:highlight w:val="none"/>
              </w:rPr>
              <w:t>）目的得分以评标委员会各成员的打分平均值确定。评标委员会成员总数为 7 人及以上时，投标人本章第2.2.</w:t>
            </w:r>
            <w:r>
              <w:rPr>
                <w:highlight w:val="none"/>
              </w:rPr>
              <w:t>3</w:t>
            </w:r>
            <w:r>
              <w:rPr>
                <w:rFonts w:hint="eastAsia"/>
                <w:highlight w:val="none"/>
              </w:rPr>
              <w:t>项第（1）目~第（</w:t>
            </w:r>
            <w:r>
              <w:rPr>
                <w:highlight w:val="none"/>
              </w:rPr>
              <w:t>3</w:t>
            </w:r>
            <w:r>
              <w:rPr>
                <w:rFonts w:hint="eastAsia"/>
                <w:highlight w:val="none"/>
              </w:rPr>
              <w:t>）目规定的得分以去掉一个最高分和一个最低分后的打分平均值确定。</w:t>
            </w:r>
          </w:p>
          <w:p>
            <w:pPr>
              <w:spacing w:line="400" w:lineRule="exact"/>
              <w:ind w:firstLine="480" w:firstLineChars="200"/>
              <w:rPr>
                <w:color w:val="000000"/>
                <w:highlight w:val="none"/>
              </w:rPr>
            </w:pPr>
            <w:r>
              <w:rPr>
                <w:color w:val="000000"/>
                <w:highlight w:val="none"/>
              </w:rPr>
              <w:t>（1）按本章第2.2.</w:t>
            </w:r>
            <w:r>
              <w:rPr>
                <w:rFonts w:hint="eastAsia"/>
                <w:color w:val="000000"/>
                <w:highlight w:val="none"/>
              </w:rPr>
              <w:t>3</w:t>
            </w:r>
            <w:r>
              <w:rPr>
                <w:color w:val="000000"/>
                <w:highlight w:val="none"/>
              </w:rPr>
              <w:t>（1）目规定的评审因素和分值对商务部分计算出得分A；</w:t>
            </w:r>
          </w:p>
          <w:p>
            <w:pPr>
              <w:spacing w:line="400" w:lineRule="exact"/>
              <w:ind w:firstLine="480" w:firstLineChars="200"/>
              <w:rPr>
                <w:color w:val="000000"/>
                <w:highlight w:val="none"/>
              </w:rPr>
            </w:pPr>
            <w:r>
              <w:rPr>
                <w:color w:val="000000"/>
                <w:highlight w:val="none"/>
              </w:rPr>
              <w:t>（2）按本章第2.2.</w:t>
            </w:r>
            <w:r>
              <w:rPr>
                <w:rFonts w:hint="eastAsia"/>
                <w:color w:val="000000"/>
                <w:highlight w:val="none"/>
              </w:rPr>
              <w:t>3</w:t>
            </w:r>
            <w:r>
              <w:rPr>
                <w:color w:val="000000"/>
                <w:highlight w:val="none"/>
              </w:rPr>
              <w:t>（2）目规定的评审因素和分值对技术部分计算出得分B；</w:t>
            </w:r>
          </w:p>
          <w:p>
            <w:pPr>
              <w:spacing w:line="400" w:lineRule="exact"/>
              <w:ind w:firstLine="480" w:firstLineChars="200"/>
              <w:rPr>
                <w:color w:val="000000"/>
                <w:highlight w:val="none"/>
              </w:rPr>
            </w:pPr>
            <w:r>
              <w:rPr>
                <w:color w:val="000000"/>
                <w:highlight w:val="none"/>
              </w:rPr>
              <w:t>（3）按本章第2.2.</w:t>
            </w:r>
            <w:r>
              <w:rPr>
                <w:rFonts w:hint="eastAsia"/>
                <w:color w:val="000000"/>
                <w:highlight w:val="none"/>
              </w:rPr>
              <w:t>3</w:t>
            </w:r>
            <w:r>
              <w:rPr>
                <w:color w:val="000000"/>
                <w:highlight w:val="none"/>
              </w:rPr>
              <w:t>（3）目规定的评审因素和</w:t>
            </w:r>
            <w:bookmarkStart w:id="227" w:name="_Toc247514028"/>
            <w:bookmarkStart w:id="228" w:name="_Toc361508652"/>
            <w:bookmarkStart w:id="229" w:name="_Toc152045604"/>
            <w:bookmarkStart w:id="230" w:name="_Toc24330"/>
            <w:bookmarkStart w:id="231" w:name="_Toc384308278"/>
            <w:bookmarkStart w:id="232" w:name="_Toc152042381"/>
            <w:bookmarkStart w:id="233" w:name="_Toc352691539"/>
            <w:bookmarkStart w:id="234" w:name="_Toc247527629"/>
            <w:bookmarkStart w:id="235" w:name="_Toc300835014"/>
            <w:bookmarkStart w:id="236" w:name="_Toc144974571"/>
            <w:bookmarkStart w:id="237" w:name="_Toc369531583"/>
            <w:r>
              <w:rPr>
                <w:color w:val="000000"/>
                <w:highlight w:val="none"/>
              </w:rPr>
              <w:t>分值对</w:t>
            </w:r>
            <w:r>
              <w:rPr>
                <w:highlight w:val="none"/>
              </w:rPr>
              <w:t>投标报价</w:t>
            </w:r>
            <w:bookmarkEnd w:id="227"/>
            <w:bookmarkEnd w:id="228"/>
            <w:bookmarkEnd w:id="229"/>
            <w:bookmarkEnd w:id="230"/>
            <w:bookmarkEnd w:id="231"/>
            <w:bookmarkEnd w:id="232"/>
            <w:bookmarkEnd w:id="233"/>
            <w:bookmarkEnd w:id="234"/>
            <w:bookmarkEnd w:id="235"/>
            <w:bookmarkEnd w:id="236"/>
            <w:bookmarkEnd w:id="237"/>
            <w:r>
              <w:rPr>
                <w:color w:val="000000"/>
                <w:highlight w:val="none"/>
              </w:rPr>
              <w:t>计</w:t>
            </w:r>
            <w:bookmarkStart w:id="238" w:name="_Toc369531584"/>
            <w:bookmarkStart w:id="239" w:name="_Toc300835015"/>
            <w:bookmarkStart w:id="240" w:name="_Toc247514029"/>
            <w:bookmarkStart w:id="241" w:name="_Toc247527630"/>
            <w:bookmarkStart w:id="242" w:name="_Toc144974572"/>
            <w:bookmarkStart w:id="243" w:name="_Toc152042382"/>
            <w:bookmarkStart w:id="244" w:name="_Toc352691540"/>
            <w:bookmarkStart w:id="245" w:name="_Toc18141"/>
            <w:bookmarkStart w:id="246" w:name="_Toc384308279"/>
            <w:bookmarkStart w:id="247" w:name="_Toc361508653"/>
            <w:bookmarkStart w:id="248" w:name="_Toc152045605"/>
            <w:r>
              <w:rPr>
                <w:color w:val="000000"/>
                <w:highlight w:val="none"/>
              </w:rPr>
              <w:t>算出得分C</w:t>
            </w:r>
            <w:r>
              <w:rPr>
                <w:rFonts w:hint="eastAsia"/>
                <w:color w:val="000000"/>
                <w:highlight w:val="none"/>
              </w:rPr>
              <w:t>。</w:t>
            </w:r>
          </w:p>
          <w:bookmarkEnd w:id="238"/>
          <w:bookmarkEnd w:id="239"/>
          <w:bookmarkEnd w:id="240"/>
          <w:bookmarkEnd w:id="241"/>
          <w:bookmarkEnd w:id="242"/>
          <w:bookmarkEnd w:id="243"/>
          <w:bookmarkEnd w:id="244"/>
          <w:bookmarkEnd w:id="245"/>
          <w:bookmarkEnd w:id="246"/>
          <w:bookmarkEnd w:id="247"/>
          <w:bookmarkEnd w:id="248"/>
          <w:p>
            <w:pPr>
              <w:spacing w:line="400" w:lineRule="exact"/>
              <w:ind w:firstLine="480" w:firstLineChars="200"/>
              <w:rPr>
                <w:color w:val="000000"/>
                <w:highlight w:val="none"/>
              </w:rPr>
            </w:pPr>
            <w:r>
              <w:rPr>
                <w:color w:val="000000"/>
                <w:highlight w:val="none"/>
              </w:rPr>
              <w:t>3.</w:t>
            </w:r>
            <w:r>
              <w:rPr>
                <w:rFonts w:hint="eastAsia"/>
                <w:color w:val="000000"/>
                <w:highlight w:val="none"/>
              </w:rPr>
              <w:t>3</w:t>
            </w:r>
            <w:r>
              <w:rPr>
                <w:color w:val="000000"/>
                <w:highlight w:val="none"/>
              </w:rPr>
              <w:t>.2评分分值计算保留小数点后两位，小数点后第三位“四舍五入”。</w:t>
            </w:r>
          </w:p>
          <w:p>
            <w:pPr>
              <w:spacing w:line="400" w:lineRule="exact"/>
              <w:ind w:firstLine="480" w:firstLineChars="200"/>
              <w:rPr>
                <w:rFonts w:hint="eastAsia"/>
                <w:color w:val="000000"/>
                <w:highlight w:val="none"/>
              </w:rPr>
            </w:pPr>
            <w:r>
              <w:rPr>
                <w:color w:val="000000"/>
                <w:highlight w:val="none"/>
              </w:rPr>
              <w:t>3.</w:t>
            </w:r>
            <w:r>
              <w:rPr>
                <w:rFonts w:hint="eastAsia"/>
                <w:color w:val="000000"/>
                <w:highlight w:val="none"/>
              </w:rPr>
              <w:t>3</w:t>
            </w:r>
            <w:r>
              <w:rPr>
                <w:color w:val="000000"/>
                <w:highlight w:val="none"/>
              </w:rPr>
              <w:t>.3投标人得分=A+B+C。</w:t>
            </w:r>
          </w:p>
          <w:p>
            <w:pPr>
              <w:spacing w:line="400" w:lineRule="exact"/>
              <w:ind w:firstLine="480" w:firstLineChars="200"/>
              <w:rPr>
                <w:rFonts w:hint="eastAsia"/>
                <w:color w:val="000000"/>
                <w:highlight w:val="none"/>
              </w:rPr>
            </w:pPr>
            <w:r>
              <w:rPr>
                <w:color w:val="000000"/>
                <w:highlight w:val="none"/>
              </w:rPr>
              <w:t>3.</w:t>
            </w:r>
            <w:r>
              <w:rPr>
                <w:rFonts w:hint="eastAsia"/>
                <w:color w:val="000000"/>
                <w:highlight w:val="none"/>
              </w:rPr>
              <w:t>3</w:t>
            </w:r>
            <w:r>
              <w:rPr>
                <w:color w:val="000000"/>
                <w:highlight w:val="non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3.4 否决投标的其他情形</w:t>
            </w:r>
          </w:p>
          <w:p>
            <w:pPr>
              <w:spacing w:line="360" w:lineRule="auto"/>
              <w:ind w:firstLine="403" w:firstLineChars="168"/>
              <w:rPr>
                <w:color w:val="000000"/>
                <w:highlight w:val="none"/>
              </w:rPr>
            </w:pPr>
            <w:r>
              <w:rPr>
                <w:color w:val="000000"/>
                <w:highlight w:val="none"/>
              </w:rPr>
              <w:t>3.</w:t>
            </w:r>
            <w:r>
              <w:rPr>
                <w:rFonts w:hint="eastAsia"/>
                <w:color w:val="000000"/>
                <w:highlight w:val="none"/>
              </w:rPr>
              <w:t>4</w:t>
            </w:r>
            <w:r>
              <w:rPr>
                <w:color w:val="000000"/>
                <w:highlight w:val="none"/>
              </w:rPr>
              <w:t>.</w:t>
            </w:r>
            <w:r>
              <w:rPr>
                <w:rFonts w:hint="eastAsia"/>
                <w:color w:val="000000"/>
                <w:highlight w:val="none"/>
              </w:rPr>
              <w:t>1</w:t>
            </w:r>
            <w:r>
              <w:rPr>
                <w:color w:val="000000"/>
                <w:highlight w:val="none"/>
              </w:rPr>
              <w:t xml:space="preserve"> </w:t>
            </w:r>
            <w:r>
              <w:rPr>
                <w:rFonts w:hint="eastAsia"/>
                <w:color w:val="000000"/>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03" w:firstLineChars="168"/>
              <w:rPr>
                <w:color w:val="000000"/>
                <w:highlight w:val="none"/>
              </w:rPr>
            </w:pPr>
            <w:r>
              <w:rPr>
                <w:rFonts w:hint="eastAsia"/>
                <w:color w:val="000000"/>
                <w:highlight w:val="none"/>
              </w:rPr>
              <w:t>（</w:t>
            </w:r>
            <w:r>
              <w:rPr>
                <w:color w:val="000000"/>
                <w:highlight w:val="none"/>
              </w:rPr>
              <w:t>1</w:t>
            </w:r>
            <w:r>
              <w:rPr>
                <w:rFonts w:hint="eastAsia"/>
                <w:color w:val="000000"/>
                <w:highlight w:val="none"/>
              </w:rPr>
              <w:t>）有下列情形之一的，属于投标人相互串通投标：</w:t>
            </w:r>
          </w:p>
          <w:p>
            <w:pPr>
              <w:spacing w:line="360" w:lineRule="auto"/>
              <w:ind w:firstLine="403" w:firstLineChars="168"/>
              <w:rPr>
                <w:color w:val="000000"/>
                <w:highlight w:val="none"/>
              </w:rPr>
            </w:pPr>
            <w:r>
              <w:rPr>
                <w:color w:val="000000"/>
                <w:highlight w:val="none"/>
              </w:rPr>
              <w:t>a.</w:t>
            </w:r>
            <w:r>
              <w:rPr>
                <w:rFonts w:hint="eastAsia"/>
                <w:color w:val="000000"/>
                <w:highlight w:val="none"/>
              </w:rPr>
              <w:t>投标人之间协商投标报价等投标文件的实质性内容；</w:t>
            </w:r>
          </w:p>
          <w:p>
            <w:pPr>
              <w:spacing w:line="360" w:lineRule="auto"/>
              <w:ind w:firstLine="403" w:firstLineChars="168"/>
              <w:rPr>
                <w:color w:val="000000"/>
                <w:highlight w:val="none"/>
              </w:rPr>
            </w:pPr>
            <w:r>
              <w:rPr>
                <w:color w:val="000000"/>
                <w:highlight w:val="none"/>
              </w:rPr>
              <w:t>b.</w:t>
            </w:r>
            <w:r>
              <w:rPr>
                <w:rFonts w:hint="eastAsia"/>
                <w:color w:val="000000"/>
                <w:highlight w:val="none"/>
              </w:rPr>
              <w:t>投标人之间约定中标人；</w:t>
            </w:r>
          </w:p>
          <w:p>
            <w:pPr>
              <w:spacing w:line="360" w:lineRule="auto"/>
              <w:ind w:firstLine="403" w:firstLineChars="168"/>
              <w:rPr>
                <w:color w:val="000000"/>
                <w:highlight w:val="none"/>
              </w:rPr>
            </w:pPr>
            <w:r>
              <w:rPr>
                <w:color w:val="000000"/>
                <w:highlight w:val="none"/>
              </w:rPr>
              <w:t>c.</w:t>
            </w:r>
            <w:r>
              <w:rPr>
                <w:rFonts w:hint="eastAsia"/>
                <w:color w:val="000000"/>
                <w:highlight w:val="none"/>
              </w:rPr>
              <w:t>投标人之间约定部分投标人放弃投标或中标；</w:t>
            </w:r>
          </w:p>
          <w:p>
            <w:pPr>
              <w:spacing w:line="360" w:lineRule="auto"/>
              <w:ind w:firstLine="403" w:firstLineChars="168"/>
              <w:rPr>
                <w:color w:val="000000"/>
                <w:highlight w:val="none"/>
              </w:rPr>
            </w:pPr>
            <w:r>
              <w:rPr>
                <w:color w:val="000000"/>
                <w:highlight w:val="none"/>
              </w:rPr>
              <w:t>d.</w:t>
            </w:r>
            <w:r>
              <w:rPr>
                <w:rFonts w:hint="eastAsia"/>
                <w:color w:val="000000"/>
                <w:highlight w:val="none"/>
              </w:rPr>
              <w:t>属于同一集团、协会、商会等组织成员的投标人按照该组织要求协同投标；</w:t>
            </w:r>
          </w:p>
          <w:p>
            <w:pPr>
              <w:spacing w:line="360" w:lineRule="auto"/>
              <w:ind w:firstLine="403" w:firstLineChars="168"/>
              <w:rPr>
                <w:color w:val="000000"/>
                <w:highlight w:val="none"/>
              </w:rPr>
            </w:pPr>
            <w:r>
              <w:rPr>
                <w:color w:val="000000"/>
                <w:highlight w:val="none"/>
              </w:rPr>
              <w:t>e.</w:t>
            </w:r>
            <w:r>
              <w:rPr>
                <w:rFonts w:hint="eastAsia"/>
                <w:color w:val="000000"/>
                <w:highlight w:val="none"/>
              </w:rPr>
              <w:t>投标人之间为谋取中标或排斥特定投标人而采取的其他联合行动。</w:t>
            </w:r>
          </w:p>
          <w:p>
            <w:pPr>
              <w:spacing w:line="360" w:lineRule="auto"/>
              <w:ind w:firstLine="403" w:firstLineChars="168"/>
              <w:rPr>
                <w:color w:val="000000"/>
                <w:highlight w:val="none"/>
              </w:rPr>
            </w:pPr>
            <w:r>
              <w:rPr>
                <w:rFonts w:hint="eastAsia"/>
                <w:color w:val="000000"/>
                <w:highlight w:val="none"/>
              </w:rPr>
              <w:t>（</w:t>
            </w:r>
            <w:r>
              <w:rPr>
                <w:color w:val="000000"/>
                <w:highlight w:val="none"/>
              </w:rPr>
              <w:t>2</w:t>
            </w:r>
            <w:r>
              <w:rPr>
                <w:rFonts w:hint="eastAsia"/>
                <w:color w:val="000000"/>
                <w:highlight w:val="none"/>
              </w:rPr>
              <w:t>）有下列情形之一的，视为投标人相互串通投标：</w:t>
            </w:r>
          </w:p>
          <w:p>
            <w:pPr>
              <w:spacing w:line="360" w:lineRule="auto"/>
              <w:ind w:firstLine="403" w:firstLineChars="168"/>
              <w:rPr>
                <w:color w:val="000000"/>
                <w:highlight w:val="none"/>
              </w:rPr>
            </w:pPr>
            <w:r>
              <w:rPr>
                <w:color w:val="000000"/>
                <w:highlight w:val="none"/>
              </w:rPr>
              <w:t>a.</w:t>
            </w:r>
            <w:r>
              <w:rPr>
                <w:rFonts w:hint="eastAsia"/>
                <w:color w:val="000000"/>
                <w:highlight w:val="none"/>
              </w:rPr>
              <w:t>不同投标人的投标文件由同一单位或个人编制；</w:t>
            </w:r>
          </w:p>
          <w:p>
            <w:pPr>
              <w:spacing w:line="360" w:lineRule="auto"/>
              <w:ind w:firstLine="403" w:firstLineChars="168"/>
              <w:rPr>
                <w:color w:val="000000"/>
                <w:highlight w:val="none"/>
              </w:rPr>
            </w:pPr>
            <w:r>
              <w:rPr>
                <w:color w:val="000000"/>
                <w:highlight w:val="none"/>
              </w:rPr>
              <w:t>b.</w:t>
            </w:r>
            <w:r>
              <w:rPr>
                <w:rFonts w:hint="eastAsia"/>
                <w:color w:val="000000"/>
                <w:highlight w:val="none"/>
              </w:rPr>
              <w:t>不同投标人委托同一单位或个人办理投标事宜；</w:t>
            </w:r>
          </w:p>
          <w:p>
            <w:pPr>
              <w:spacing w:line="360" w:lineRule="auto"/>
              <w:ind w:firstLine="403" w:firstLineChars="168"/>
              <w:rPr>
                <w:color w:val="000000"/>
                <w:highlight w:val="none"/>
              </w:rPr>
            </w:pPr>
            <w:r>
              <w:rPr>
                <w:color w:val="000000"/>
                <w:highlight w:val="none"/>
              </w:rPr>
              <w:t>c.</w:t>
            </w:r>
            <w:r>
              <w:rPr>
                <w:rFonts w:hint="eastAsia"/>
                <w:color w:val="000000"/>
                <w:highlight w:val="none"/>
              </w:rPr>
              <w:t>不同投标人的投标文件载明的项目管理成员为同一人；</w:t>
            </w:r>
          </w:p>
          <w:p>
            <w:pPr>
              <w:spacing w:line="360" w:lineRule="auto"/>
              <w:ind w:firstLine="403" w:firstLineChars="168"/>
              <w:rPr>
                <w:color w:val="000000"/>
                <w:highlight w:val="none"/>
              </w:rPr>
            </w:pPr>
            <w:r>
              <w:rPr>
                <w:color w:val="000000"/>
                <w:highlight w:val="none"/>
              </w:rPr>
              <w:t>d.</w:t>
            </w:r>
            <w:r>
              <w:rPr>
                <w:rFonts w:hint="eastAsia"/>
                <w:color w:val="000000"/>
                <w:highlight w:val="none"/>
              </w:rPr>
              <w:t>不同投标人的投标文件异常一致或投标报价呈规律性差异；</w:t>
            </w:r>
          </w:p>
          <w:p>
            <w:pPr>
              <w:spacing w:line="360" w:lineRule="auto"/>
              <w:ind w:firstLine="403" w:firstLineChars="168"/>
              <w:rPr>
                <w:color w:val="000000"/>
                <w:highlight w:val="none"/>
              </w:rPr>
            </w:pPr>
            <w:r>
              <w:rPr>
                <w:color w:val="000000"/>
                <w:highlight w:val="none"/>
              </w:rPr>
              <w:t>e.</w:t>
            </w:r>
            <w:r>
              <w:rPr>
                <w:rFonts w:hint="eastAsia"/>
                <w:color w:val="000000"/>
                <w:highlight w:val="none"/>
              </w:rPr>
              <w:t>不同投标人的投标文件相互混装；</w:t>
            </w:r>
          </w:p>
          <w:p>
            <w:pPr>
              <w:spacing w:line="360" w:lineRule="auto"/>
              <w:ind w:firstLine="403" w:firstLineChars="168"/>
              <w:rPr>
                <w:color w:val="000000"/>
                <w:highlight w:val="none"/>
              </w:rPr>
            </w:pPr>
            <w:r>
              <w:rPr>
                <w:color w:val="000000"/>
                <w:highlight w:val="none"/>
              </w:rPr>
              <w:t>f.</w:t>
            </w:r>
            <w:r>
              <w:rPr>
                <w:rFonts w:hint="eastAsia"/>
                <w:color w:val="000000"/>
                <w:highlight w:val="none"/>
              </w:rPr>
              <w:t>不同投标人的投标保证金从同一单位或个人的账户转出。</w:t>
            </w:r>
          </w:p>
          <w:p>
            <w:pPr>
              <w:spacing w:line="360" w:lineRule="auto"/>
              <w:ind w:firstLine="403" w:firstLineChars="168"/>
              <w:rPr>
                <w:color w:val="000000"/>
                <w:highlight w:val="none"/>
              </w:rPr>
            </w:pPr>
            <w:r>
              <w:rPr>
                <w:rFonts w:hint="eastAsia"/>
                <w:color w:val="000000"/>
                <w:highlight w:val="none"/>
              </w:rPr>
              <w:t>（</w:t>
            </w:r>
            <w:r>
              <w:rPr>
                <w:color w:val="000000"/>
                <w:highlight w:val="none"/>
              </w:rPr>
              <w:t>3</w:t>
            </w:r>
            <w:r>
              <w:rPr>
                <w:rFonts w:hint="eastAsia"/>
                <w:color w:val="000000"/>
                <w:highlight w:val="none"/>
              </w:rPr>
              <w:t>）有下列情形之一的，属于招标人与投标人串通投标：</w:t>
            </w:r>
          </w:p>
          <w:p>
            <w:pPr>
              <w:spacing w:line="360" w:lineRule="auto"/>
              <w:ind w:firstLine="403" w:firstLineChars="168"/>
              <w:rPr>
                <w:color w:val="000000"/>
                <w:highlight w:val="none"/>
              </w:rPr>
            </w:pPr>
            <w:r>
              <w:rPr>
                <w:color w:val="000000"/>
                <w:highlight w:val="none"/>
              </w:rPr>
              <w:t>a.</w:t>
            </w:r>
            <w:r>
              <w:rPr>
                <w:rFonts w:hint="eastAsia"/>
                <w:color w:val="000000"/>
                <w:highlight w:val="none"/>
              </w:rPr>
              <w:t>招标人在开标前开启投标文件并将有关信息泄露给其他投标人；</w:t>
            </w:r>
          </w:p>
          <w:p>
            <w:pPr>
              <w:spacing w:line="360" w:lineRule="auto"/>
              <w:ind w:firstLine="403" w:firstLineChars="168"/>
              <w:rPr>
                <w:color w:val="000000"/>
                <w:highlight w:val="none"/>
              </w:rPr>
            </w:pPr>
            <w:r>
              <w:rPr>
                <w:color w:val="000000"/>
                <w:highlight w:val="none"/>
              </w:rPr>
              <w:t>b.</w:t>
            </w:r>
            <w:r>
              <w:rPr>
                <w:rFonts w:hint="eastAsia"/>
                <w:color w:val="000000"/>
                <w:highlight w:val="none"/>
              </w:rPr>
              <w:t>招标人直接或间接向投标人泄露标底、评标委员会成员等信息；</w:t>
            </w:r>
          </w:p>
          <w:p>
            <w:pPr>
              <w:spacing w:line="360" w:lineRule="auto"/>
              <w:ind w:firstLine="403" w:firstLineChars="168"/>
              <w:rPr>
                <w:color w:val="000000"/>
                <w:highlight w:val="none"/>
              </w:rPr>
            </w:pPr>
            <w:r>
              <w:rPr>
                <w:color w:val="000000"/>
                <w:highlight w:val="none"/>
              </w:rPr>
              <w:t>c.</w:t>
            </w:r>
            <w:r>
              <w:rPr>
                <w:rFonts w:hint="eastAsia"/>
                <w:color w:val="000000"/>
                <w:highlight w:val="none"/>
              </w:rPr>
              <w:t>招标人明示或暗示投标人压低或抬高投标报价；</w:t>
            </w:r>
          </w:p>
          <w:p>
            <w:pPr>
              <w:spacing w:line="360" w:lineRule="auto"/>
              <w:ind w:firstLine="403" w:firstLineChars="168"/>
              <w:rPr>
                <w:color w:val="000000"/>
                <w:highlight w:val="none"/>
              </w:rPr>
            </w:pPr>
            <w:r>
              <w:rPr>
                <w:color w:val="000000"/>
                <w:highlight w:val="none"/>
              </w:rPr>
              <w:t>d.</w:t>
            </w:r>
            <w:r>
              <w:rPr>
                <w:rFonts w:hint="eastAsia"/>
                <w:color w:val="000000"/>
                <w:highlight w:val="none"/>
              </w:rPr>
              <w:t>招标人授意投标人撤换、修改投标文件；</w:t>
            </w:r>
          </w:p>
          <w:p>
            <w:pPr>
              <w:spacing w:line="360" w:lineRule="auto"/>
              <w:ind w:firstLine="403" w:firstLineChars="168"/>
              <w:rPr>
                <w:color w:val="000000"/>
                <w:highlight w:val="none"/>
              </w:rPr>
            </w:pPr>
            <w:r>
              <w:rPr>
                <w:color w:val="000000"/>
                <w:highlight w:val="none"/>
              </w:rPr>
              <w:t>e.</w:t>
            </w:r>
            <w:r>
              <w:rPr>
                <w:rFonts w:hint="eastAsia"/>
                <w:color w:val="000000"/>
                <w:highlight w:val="none"/>
              </w:rPr>
              <w:t>招标人明示或暗示投标人为特定投标人中标提供方便；</w:t>
            </w:r>
          </w:p>
          <w:p>
            <w:pPr>
              <w:spacing w:line="360" w:lineRule="auto"/>
              <w:ind w:firstLine="403" w:firstLineChars="168"/>
              <w:rPr>
                <w:color w:val="000000"/>
                <w:highlight w:val="none"/>
              </w:rPr>
            </w:pPr>
            <w:r>
              <w:rPr>
                <w:color w:val="000000"/>
                <w:highlight w:val="none"/>
              </w:rPr>
              <w:t>f.</w:t>
            </w:r>
            <w:r>
              <w:rPr>
                <w:rFonts w:hint="eastAsia"/>
                <w:color w:val="000000"/>
                <w:highlight w:val="none"/>
              </w:rPr>
              <w:t>招标人与投标人为谋求特定投标人中标而采取的其他串通行为。</w:t>
            </w:r>
          </w:p>
          <w:p>
            <w:pPr>
              <w:spacing w:line="360" w:lineRule="auto"/>
              <w:ind w:firstLine="403" w:firstLineChars="168"/>
              <w:rPr>
                <w:color w:val="000000"/>
                <w:highlight w:val="none"/>
              </w:rPr>
            </w:pPr>
            <w:r>
              <w:rPr>
                <w:rFonts w:hint="eastAsia"/>
                <w:color w:val="000000"/>
                <w:highlight w:val="none"/>
              </w:rPr>
              <w:t>（</w:t>
            </w:r>
            <w:r>
              <w:rPr>
                <w:color w:val="000000"/>
                <w:highlight w:val="none"/>
              </w:rPr>
              <w:t>4</w:t>
            </w:r>
            <w:r>
              <w:rPr>
                <w:rFonts w:hint="eastAsia"/>
                <w:color w:val="000000"/>
                <w:highlight w:val="none"/>
              </w:rPr>
              <w:t>）投标人有下列情形之一的，属于弄虚作假的行为：</w:t>
            </w:r>
          </w:p>
          <w:p>
            <w:pPr>
              <w:spacing w:line="360" w:lineRule="auto"/>
              <w:ind w:firstLine="403" w:firstLineChars="168"/>
              <w:rPr>
                <w:color w:val="000000"/>
                <w:highlight w:val="none"/>
              </w:rPr>
            </w:pPr>
            <w:r>
              <w:rPr>
                <w:color w:val="000000"/>
                <w:highlight w:val="none"/>
              </w:rPr>
              <w:t>a.</w:t>
            </w:r>
            <w:r>
              <w:rPr>
                <w:rFonts w:hint="eastAsia"/>
                <w:color w:val="000000"/>
                <w:highlight w:val="none"/>
              </w:rPr>
              <w:t>使用通过受让或租借等方式获取的资格、资质证书投标；</w:t>
            </w:r>
          </w:p>
          <w:p>
            <w:pPr>
              <w:spacing w:line="360" w:lineRule="auto"/>
              <w:ind w:firstLine="403" w:firstLineChars="168"/>
              <w:rPr>
                <w:color w:val="000000"/>
                <w:highlight w:val="none"/>
              </w:rPr>
            </w:pPr>
            <w:r>
              <w:rPr>
                <w:color w:val="000000"/>
                <w:highlight w:val="none"/>
              </w:rPr>
              <w:t>b.</w:t>
            </w:r>
            <w:r>
              <w:rPr>
                <w:rFonts w:hint="eastAsia"/>
                <w:color w:val="000000"/>
                <w:highlight w:val="none"/>
              </w:rPr>
              <w:t>使用伪造、变造的许可证件；</w:t>
            </w:r>
          </w:p>
          <w:p>
            <w:pPr>
              <w:spacing w:line="360" w:lineRule="auto"/>
              <w:ind w:firstLine="403" w:firstLineChars="168"/>
              <w:rPr>
                <w:color w:val="000000"/>
                <w:highlight w:val="none"/>
              </w:rPr>
            </w:pPr>
            <w:r>
              <w:rPr>
                <w:color w:val="000000"/>
                <w:highlight w:val="none"/>
              </w:rPr>
              <w:t>c.</w:t>
            </w:r>
            <w:r>
              <w:rPr>
                <w:rFonts w:hint="eastAsia"/>
                <w:color w:val="000000"/>
                <w:highlight w:val="none"/>
              </w:rPr>
              <w:t>提供虚假的财务状况或业绩；</w:t>
            </w:r>
          </w:p>
          <w:p>
            <w:pPr>
              <w:spacing w:line="360" w:lineRule="auto"/>
              <w:ind w:firstLine="403" w:firstLineChars="168"/>
              <w:rPr>
                <w:color w:val="000000"/>
                <w:highlight w:val="none"/>
              </w:rPr>
            </w:pPr>
            <w:r>
              <w:rPr>
                <w:color w:val="000000"/>
                <w:highlight w:val="none"/>
              </w:rPr>
              <w:t>d.</w:t>
            </w:r>
            <w:r>
              <w:rPr>
                <w:rFonts w:hint="eastAsia"/>
                <w:color w:val="000000"/>
                <w:highlight w:val="none"/>
              </w:rPr>
              <w:t>提供虚假的项目经理或主要技术人员简历、劳动关系证明；</w:t>
            </w:r>
          </w:p>
          <w:p>
            <w:pPr>
              <w:spacing w:line="360" w:lineRule="auto"/>
              <w:ind w:firstLine="403" w:firstLineChars="168"/>
              <w:rPr>
                <w:color w:val="000000"/>
                <w:highlight w:val="none"/>
              </w:rPr>
            </w:pPr>
            <w:r>
              <w:rPr>
                <w:color w:val="000000"/>
                <w:highlight w:val="none"/>
              </w:rPr>
              <w:t>e.</w:t>
            </w:r>
            <w:r>
              <w:rPr>
                <w:rFonts w:hint="eastAsia"/>
                <w:color w:val="000000"/>
                <w:highlight w:val="none"/>
              </w:rPr>
              <w:t>提供虚假的信用状况；</w:t>
            </w:r>
          </w:p>
          <w:p>
            <w:pPr>
              <w:spacing w:line="360" w:lineRule="auto"/>
              <w:ind w:firstLine="403" w:firstLineChars="168"/>
              <w:rPr>
                <w:rFonts w:hint="eastAsia"/>
                <w:color w:val="000000"/>
                <w:highlight w:val="none"/>
              </w:rPr>
            </w:pPr>
            <w:r>
              <w:rPr>
                <w:color w:val="000000"/>
                <w:highlight w:val="none"/>
              </w:rPr>
              <w:t>f.</w:t>
            </w:r>
            <w:r>
              <w:rPr>
                <w:rFonts w:hint="eastAsia"/>
                <w:color w:val="000000"/>
                <w:highlight w:val="none"/>
              </w:rPr>
              <w:t>其他弄虚作假的行为。</w:t>
            </w:r>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3.5 投标文件的澄清、说明或补正</w:t>
            </w:r>
          </w:p>
          <w:p>
            <w:pPr>
              <w:adjustRightInd w:val="0"/>
              <w:snapToGrid w:val="0"/>
              <w:spacing w:line="400" w:lineRule="exact"/>
              <w:ind w:firstLine="480" w:firstLineChars="200"/>
              <w:rPr>
                <w:color w:val="000000"/>
                <w:highlight w:val="none"/>
              </w:rPr>
            </w:pPr>
            <w:r>
              <w:rPr>
                <w:color w:val="000000"/>
                <w:highlight w:val="none"/>
              </w:rPr>
              <w:t>3.</w:t>
            </w:r>
            <w:r>
              <w:rPr>
                <w:rFonts w:hint="eastAsia"/>
                <w:color w:val="000000"/>
                <w:highlight w:val="none"/>
              </w:rPr>
              <w:t>5</w:t>
            </w:r>
            <w:r>
              <w:rPr>
                <w:color w:val="000000"/>
                <w:highlight w:val="none"/>
              </w:rPr>
              <w:t>.1</w:t>
            </w:r>
            <w:r>
              <w:rPr>
                <w:rFonts w:hint="eastAsia"/>
                <w:color w:val="000000"/>
                <w:highlight w:val="none"/>
              </w:rPr>
              <w:t xml:space="preserve"> </w:t>
            </w:r>
            <w:r>
              <w:rPr>
                <w:color w:val="000000"/>
                <w:highlight w:val="none"/>
              </w:rPr>
              <w:t>在评标过程中，评标委员会可以书面形式要求投标人对投标文件中含义不明确、对同类问题表述不一致或者有明显文字和计算错误的内容</w:t>
            </w:r>
            <w:r>
              <w:rPr>
                <w:rFonts w:hint="eastAsia"/>
                <w:color w:val="000000"/>
                <w:highlight w:val="none"/>
              </w:rPr>
              <w:t>作</w:t>
            </w:r>
            <w:r>
              <w:rPr>
                <w:color w:val="000000"/>
                <w:highlight w:val="none"/>
              </w:rPr>
              <w:t>必要的澄清、说明或补正。评标委员会不接受投标人主动提出的澄清、说明或补正。</w:t>
            </w:r>
          </w:p>
          <w:p>
            <w:pPr>
              <w:spacing w:line="400" w:lineRule="exact"/>
              <w:ind w:firstLine="480" w:firstLineChars="200"/>
              <w:rPr>
                <w:color w:val="000000"/>
                <w:highlight w:val="none"/>
              </w:rPr>
            </w:pPr>
            <w:r>
              <w:rPr>
                <w:color w:val="000000"/>
                <w:highlight w:val="none"/>
              </w:rPr>
              <w:t>3.</w:t>
            </w:r>
            <w:r>
              <w:rPr>
                <w:rFonts w:hint="eastAsia"/>
                <w:color w:val="000000"/>
                <w:highlight w:val="none"/>
              </w:rPr>
              <w:t>5</w:t>
            </w:r>
            <w:r>
              <w:rPr>
                <w:color w:val="000000"/>
                <w:highlight w:val="none"/>
              </w:rPr>
              <w:t>.2</w:t>
            </w:r>
            <w:r>
              <w:rPr>
                <w:rFonts w:hint="eastAsia"/>
                <w:color w:val="000000"/>
                <w:highlight w:val="none"/>
              </w:rPr>
              <w:t xml:space="preserve"> 投标人</w:t>
            </w:r>
            <w:r>
              <w:rPr>
                <w:color w:val="000000"/>
                <w:highlight w:val="none"/>
              </w:rPr>
              <w:t>须在规定的时间内作出澄清、说明或补正且不得超出投标文件的范围且不得改变投标文件的实质性内容，并构成投标文件的组成部分。</w:t>
            </w:r>
          </w:p>
          <w:p>
            <w:pPr>
              <w:spacing w:line="400" w:lineRule="exact"/>
              <w:ind w:firstLine="480" w:firstLineChars="200"/>
              <w:rPr>
                <w:rFonts w:hint="eastAsia"/>
                <w:szCs w:val="22"/>
                <w:highlight w:val="none"/>
              </w:rPr>
            </w:pPr>
            <w:r>
              <w:rPr>
                <w:color w:val="000000"/>
                <w:highlight w:val="none"/>
              </w:rPr>
              <w:t>3.</w:t>
            </w:r>
            <w:r>
              <w:rPr>
                <w:rFonts w:hint="eastAsia"/>
                <w:color w:val="000000"/>
                <w:highlight w:val="none"/>
              </w:rPr>
              <w:t>5</w:t>
            </w:r>
            <w:r>
              <w:rPr>
                <w:color w:val="000000"/>
                <w:highlight w:val="none"/>
              </w:rPr>
              <w:t>.3</w:t>
            </w:r>
            <w:r>
              <w:rPr>
                <w:rFonts w:hint="eastAsia"/>
                <w:color w:val="000000"/>
                <w:highlight w:val="none"/>
              </w:rPr>
              <w:t xml:space="preserve"> </w:t>
            </w:r>
            <w:r>
              <w:rPr>
                <w:color w:val="000000"/>
                <w:highlight w:val="none"/>
              </w:rPr>
              <w:t>评标委员会对投标人在线提交的澄清、说明或补正有疑问的，可以要求投标人在规定的时间内进一步澄清、说明或补正，直至满足评标委员会的要求。</w:t>
            </w:r>
          </w:p>
          <w:p>
            <w:pPr>
              <w:keepNext/>
              <w:keepLines/>
              <w:spacing w:before="120" w:after="120" w:line="360" w:lineRule="auto"/>
              <w:jc w:val="left"/>
              <w:outlineLvl w:val="2"/>
              <w:rPr>
                <w:rFonts w:hint="eastAsia" w:eastAsia="黑体"/>
                <w:bCs/>
                <w:sz w:val="24"/>
                <w:highlight w:val="none"/>
              </w:rPr>
            </w:pPr>
            <w:r>
              <w:rPr>
                <w:rFonts w:hint="eastAsia" w:eastAsia="黑体"/>
                <w:bCs/>
                <w:sz w:val="24"/>
                <w:highlight w:val="none"/>
              </w:rPr>
              <w:t>3.6 评标结果</w:t>
            </w:r>
          </w:p>
          <w:p>
            <w:pPr>
              <w:spacing w:line="360" w:lineRule="auto"/>
              <w:ind w:firstLine="403" w:firstLineChars="168"/>
              <w:rPr>
                <w:rFonts w:hint="eastAsia" w:cs="Courier New"/>
                <w:szCs w:val="21"/>
                <w:highlight w:val="none"/>
              </w:rPr>
            </w:pPr>
            <w:r>
              <w:rPr>
                <w:rFonts w:hint="eastAsia"/>
                <w:szCs w:val="22"/>
                <w:highlight w:val="none"/>
              </w:rPr>
              <w:t xml:space="preserve">3.6.1 </w:t>
            </w:r>
            <w:r>
              <w:rPr>
                <w:rFonts w:hint="eastAsia"/>
                <w:color w:val="000000"/>
                <w:szCs w:val="22"/>
                <w:highlight w:val="none"/>
              </w:rPr>
              <w:t>除第二章投标人须知前附表授权直接确定中标人外，评标委员会按照得分由高到低的顺序推荐中标候选人，并标明排列顺序。</w:t>
            </w:r>
          </w:p>
          <w:p>
            <w:pPr>
              <w:spacing w:line="360" w:lineRule="auto"/>
              <w:ind w:firstLine="403" w:firstLineChars="168"/>
              <w:rPr>
                <w:rFonts w:hint="eastAsia" w:cs="Courier New"/>
                <w:szCs w:val="21"/>
                <w:highlight w:val="none"/>
              </w:rPr>
            </w:pPr>
            <w:r>
              <w:rPr>
                <w:rFonts w:hint="eastAsia" w:cs="Courier New"/>
                <w:szCs w:val="21"/>
                <w:highlight w:val="none"/>
              </w:rPr>
              <w:t>3.6.2 评标委员会完成评标后，应当向招标人提交评标报告。</w:t>
            </w:r>
            <w:r>
              <w:rPr>
                <w:rFonts w:hint="eastAsia"/>
                <w:color w:val="000000"/>
                <w:szCs w:val="22"/>
                <w:highlight w:val="none"/>
              </w:rPr>
              <w:t>评标报告应当如实记载以下内容：</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（1）基本情况和数据表；</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（2）评标委员会成员名单；</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（3）开标记录；</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（4）符合要求的投标人一览表；</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（5）否决投标情况说明；</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（6）评标标准、评标方法或者评标因素一览表；</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（7）评分比较一览表；</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（8）经评审的投标人排序；</w:t>
            </w:r>
          </w:p>
          <w:p>
            <w:pPr>
              <w:adjustRightInd w:val="0"/>
              <w:snapToGrid w:val="0"/>
              <w:spacing w:line="360" w:lineRule="auto"/>
              <w:ind w:firstLine="480" w:firstLineChars="200"/>
              <w:textAlignment w:val="baseline"/>
              <w:rPr>
                <w:rFonts w:hint="eastAsia"/>
                <w:color w:val="000000"/>
                <w:szCs w:val="22"/>
                <w:highlight w:val="none"/>
              </w:rPr>
            </w:pPr>
            <w:r>
              <w:rPr>
                <w:rFonts w:hint="eastAsia"/>
                <w:color w:val="000000"/>
                <w:szCs w:val="22"/>
                <w:highlight w:val="none"/>
              </w:rPr>
              <w:t>（9）推荐的中标候选人名单与签订合同前要处理的事宜；</w:t>
            </w:r>
          </w:p>
          <w:p>
            <w:pPr>
              <w:adjustRightInd w:val="0"/>
              <w:snapToGrid w:val="0"/>
              <w:spacing w:line="360" w:lineRule="auto"/>
              <w:ind w:firstLine="480" w:firstLineChars="200"/>
              <w:textAlignment w:val="baseline"/>
            </w:pPr>
            <w:r>
              <w:rPr>
                <w:rFonts w:hint="eastAsia"/>
                <w:color w:val="000000"/>
                <w:szCs w:val="22"/>
                <w:highlight w:val="none"/>
              </w:rPr>
              <w:t>（10）澄清、说明事项纪要。</w:t>
            </w:r>
          </w:p>
        </w:tc>
      </w:tr>
    </w:tbl>
    <w:p>
      <w:pPr>
        <w:spacing w:after="218" w:line="240" w:lineRule="auto"/>
        <w:ind w:left="605" w:right="0" w:firstLine="0"/>
      </w:pPr>
      <w:r>
        <w:t xml:space="preserve"> </w:t>
      </w: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line="367" w:lineRule="auto"/>
        <w:ind w:left="172" w:firstLine="418"/>
        <w:rPr>
          <w:rFonts w:eastAsiaTheme="minorEastAsia"/>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spacing w:after="0" w:line="240" w:lineRule="auto"/>
        <w:ind w:left="375" w:right="0" w:firstLine="0"/>
        <w:jc w:val="center"/>
        <w:rPr>
          <w:color w:val="FF0000"/>
          <w:sz w:val="48"/>
          <w:szCs w:val="48"/>
        </w:rPr>
      </w:pPr>
    </w:p>
    <w:p>
      <w:pPr>
        <w:pStyle w:val="3"/>
        <w:spacing w:before="0" w:after="0" w:line="360" w:lineRule="auto"/>
        <w:jc w:val="center"/>
        <w:rPr>
          <w:rFonts w:hint="eastAsia" w:ascii="宋体" w:hAnsi="宋体"/>
          <w:color w:val="000000"/>
          <w:sz w:val="32"/>
          <w:szCs w:val="32"/>
        </w:rPr>
      </w:pPr>
      <w:bookmarkStart w:id="249" w:name="_Toc72221890"/>
    </w:p>
    <w:p>
      <w:pPr>
        <w:pStyle w:val="3"/>
        <w:spacing w:before="0" w:after="0" w:line="360" w:lineRule="auto"/>
        <w:jc w:val="center"/>
        <w:rPr>
          <w:rFonts w:hint="eastAsia" w:ascii="宋体" w:hAnsi="宋体"/>
          <w:color w:val="000000"/>
          <w:sz w:val="32"/>
          <w:szCs w:val="32"/>
        </w:rPr>
      </w:pPr>
    </w:p>
    <w:p>
      <w:pPr>
        <w:pStyle w:val="3"/>
        <w:spacing w:before="0" w:after="0" w:line="360" w:lineRule="auto"/>
        <w:jc w:val="center"/>
        <w:rPr>
          <w:rFonts w:hint="eastAsia" w:ascii="宋体" w:hAnsi="宋体"/>
          <w:color w:val="000000"/>
          <w:sz w:val="32"/>
          <w:szCs w:val="32"/>
        </w:rPr>
      </w:pPr>
    </w:p>
    <w:p>
      <w:pPr>
        <w:pStyle w:val="3"/>
        <w:spacing w:before="0" w:after="0" w:line="360" w:lineRule="auto"/>
        <w:ind w:left="0" w:leftChars="0" w:firstLine="0" w:firstLineChars="0"/>
        <w:jc w:val="both"/>
        <w:rPr>
          <w:rFonts w:hint="eastAsia" w:ascii="宋体" w:hAnsi="宋体"/>
          <w:color w:val="000000"/>
          <w:sz w:val="32"/>
          <w:szCs w:val="32"/>
        </w:rPr>
      </w:pPr>
    </w:p>
    <w:p>
      <w:pPr>
        <w:pStyle w:val="3"/>
        <w:spacing w:before="0" w:after="0" w:line="360" w:lineRule="auto"/>
        <w:ind w:left="0" w:leftChars="0" w:firstLine="0" w:firstLineChars="0"/>
        <w:jc w:val="center"/>
        <w:rPr>
          <w:rFonts w:hint="eastAsia" w:ascii="宋体" w:hAnsi="宋体"/>
          <w:color w:val="000000"/>
          <w:sz w:val="32"/>
          <w:szCs w:val="32"/>
        </w:rPr>
      </w:pPr>
    </w:p>
    <w:p>
      <w:pPr>
        <w:pStyle w:val="3"/>
        <w:spacing w:before="0" w:after="0" w:line="360" w:lineRule="auto"/>
        <w:ind w:left="0" w:leftChars="0" w:firstLine="0" w:firstLineChars="0"/>
        <w:jc w:val="center"/>
        <w:rPr>
          <w:rFonts w:hint="eastAsia" w:ascii="宋体" w:hAnsi="宋体"/>
          <w:color w:val="000000"/>
          <w:sz w:val="32"/>
          <w:szCs w:val="32"/>
        </w:rPr>
      </w:pPr>
    </w:p>
    <w:p>
      <w:pPr>
        <w:pStyle w:val="3"/>
        <w:spacing w:before="0" w:after="0" w:line="360" w:lineRule="auto"/>
        <w:ind w:left="0" w:leftChars="0" w:firstLine="0" w:firstLineChars="0"/>
        <w:jc w:val="both"/>
        <w:rPr>
          <w:rFonts w:ascii="宋体" w:hAnsi="宋体"/>
          <w:color w:val="000000"/>
          <w:sz w:val="32"/>
          <w:szCs w:val="32"/>
        </w:rPr>
      </w:pPr>
      <w:r>
        <w:rPr>
          <w:rFonts w:hint="eastAsia" w:ascii="宋体" w:hAnsi="宋体"/>
          <w:color w:val="000000"/>
          <w:sz w:val="32"/>
          <w:szCs w:val="32"/>
        </w:rPr>
        <w:t>第四章  合同条款及格式</w:t>
      </w:r>
      <w:bookmarkEnd w:id="249"/>
    </w:p>
    <w:p>
      <w:pPr>
        <w:spacing w:before="120" w:beforeLines="50" w:after="120" w:afterLines="50" w:line="360" w:lineRule="auto"/>
        <w:jc w:val="center"/>
        <w:rPr>
          <w:rFonts w:hAnsi="宋体"/>
          <w:sz w:val="24"/>
        </w:rPr>
      </w:pPr>
      <w:bookmarkStart w:id="250" w:name="_Toc247085853"/>
      <w:bookmarkStart w:id="251" w:name="_Toc179632787"/>
      <w:bookmarkStart w:id="252" w:name="_Toc246997081"/>
      <w:bookmarkStart w:id="253" w:name="_Toc246996338"/>
      <w:bookmarkStart w:id="254" w:name="_Toc144974829"/>
      <w:bookmarkStart w:id="255" w:name="_Toc152045610"/>
      <w:bookmarkStart w:id="256" w:name="_Toc300835199"/>
      <w:bookmarkStart w:id="257" w:name="_Toc144974578"/>
      <w:bookmarkStart w:id="258" w:name="_Toc152042388"/>
      <w:bookmarkStart w:id="259" w:name="_Toc247527798"/>
      <w:bookmarkStart w:id="260" w:name="_Toc247514197"/>
      <w:bookmarkStart w:id="261" w:name="_Toc152042549"/>
      <w:bookmarkStart w:id="262" w:name="_Toc184635122"/>
      <w:r>
        <w:rPr>
          <w:rFonts w:hint="eastAsia" w:hAnsi="宋体"/>
          <w:sz w:val="24"/>
        </w:rPr>
        <w:t>参照行业内合同范本。</w:t>
      </w:r>
    </w:p>
    <w:p>
      <w:pPr>
        <w:pStyle w:val="14"/>
        <w:rPr>
          <w:rFonts w:hint="eastAsia"/>
        </w:rPr>
      </w:pPr>
      <w:r>
        <w:br w:type="page"/>
      </w:r>
    </w:p>
    <w:p>
      <w:pPr>
        <w:keepNext/>
        <w:keepLines/>
        <w:spacing w:before="120" w:after="120" w:line="360" w:lineRule="auto"/>
        <w:ind w:firstLine="137"/>
        <w:jc w:val="left"/>
        <w:outlineLvl w:val="2"/>
        <w:rPr>
          <w:rFonts w:ascii="Times New Roman" w:hAnsi="Times New Roman" w:eastAsia="黑体"/>
          <w:bCs/>
          <w:sz w:val="24"/>
          <w:szCs w:val="24"/>
        </w:rPr>
      </w:pPr>
      <w:bookmarkStart w:id="263" w:name="_Toc501460715"/>
      <w:r>
        <w:rPr>
          <w:rFonts w:ascii="Times New Roman" w:hAnsi="Times New Roman" w:eastAsia="黑体"/>
          <w:bCs/>
          <w:sz w:val="24"/>
          <w:szCs w:val="24"/>
        </w:rPr>
        <w:t>附件</w:t>
      </w:r>
      <w:r>
        <w:rPr>
          <w:rFonts w:hint="eastAsia" w:ascii="Times New Roman" w:hAnsi="Times New Roman" w:eastAsia="黑体"/>
          <w:bCs/>
          <w:sz w:val="24"/>
          <w:szCs w:val="24"/>
        </w:rPr>
        <w:t>一</w:t>
      </w:r>
      <w:r>
        <w:rPr>
          <w:rFonts w:ascii="Times New Roman" w:hAnsi="Times New Roman" w:eastAsia="黑体"/>
          <w:bCs/>
          <w:sz w:val="24"/>
          <w:szCs w:val="24"/>
        </w:rPr>
        <w:t>：履约保证金格式</w:t>
      </w:r>
      <w:bookmarkEnd w:id="263"/>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szCs w:val="24"/>
          <w:u w:val="single"/>
        </w:rPr>
      </w:pPr>
      <w:r>
        <w:rPr>
          <w:rFonts w:ascii="Times New Roman" w:hAnsi="Times New Roman" w:eastAsia="黑体"/>
          <w:color w:val="000000"/>
          <w:sz w:val="28"/>
          <w:szCs w:val="24"/>
        </w:rPr>
        <w:t>履约保证金</w:t>
      </w:r>
    </w:p>
    <w:p>
      <w:pPr>
        <w:spacing w:line="360" w:lineRule="auto"/>
        <w:rPr>
          <w:rFonts w:ascii="Times New Roman" w:hAnsi="Times New Roman"/>
          <w:szCs w:val="24"/>
        </w:rPr>
      </w:pP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ascii="Times New Roman" w:hAnsi="Times New Roman"/>
          <w:szCs w:val="24"/>
        </w:rPr>
        <w:t>（买方名称）：</w:t>
      </w:r>
    </w:p>
    <w:p>
      <w:pPr>
        <w:spacing w:line="360" w:lineRule="auto"/>
        <w:ind w:firstLine="480" w:firstLineChars="200"/>
        <w:rPr>
          <w:rFonts w:ascii="Times New Roman" w:hAnsi="Times New Roman"/>
          <w:szCs w:val="24"/>
        </w:rPr>
      </w:pPr>
      <w:r>
        <w:rPr>
          <w:rFonts w:ascii="Times New Roman" w:hAnsi="Times New Roman"/>
          <w:szCs w:val="24"/>
        </w:rPr>
        <w:t>鉴于</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4"/>
        </w:rPr>
        <w:t>（名称，以下</w:t>
      </w:r>
      <w:r>
        <w:rPr>
          <w:rFonts w:ascii="Times New Roman" w:hAnsi="Times New Roman"/>
          <w:szCs w:val="21"/>
        </w:rPr>
        <w:t>称“卖方”</w:t>
      </w:r>
      <w:r>
        <w:rPr>
          <w:rFonts w:ascii="Times New Roman" w:hAnsi="Times New Roman"/>
          <w:szCs w:val="24"/>
        </w:rPr>
        <w:t>）</w:t>
      </w:r>
      <w:r>
        <w:rPr>
          <w:rFonts w:hint="eastAsia" w:ascii="Times New Roman" w:hAnsi="Times New Roman"/>
          <w:szCs w:val="21"/>
        </w:rPr>
        <w:t xml:space="preserve"> 为</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hint="eastAsia" w:ascii="Times New Roman" w:hAnsi="Times New Roman"/>
          <w:szCs w:val="24"/>
        </w:rPr>
        <w:t>（项目名称）</w:t>
      </w:r>
      <w:r>
        <w:rPr>
          <w:rFonts w:ascii="Times New Roman" w:hAnsi="Times New Roman"/>
          <w:szCs w:val="24"/>
        </w:rPr>
        <w:t>的中标</w:t>
      </w:r>
      <w:r>
        <w:rPr>
          <w:rFonts w:hint="eastAsia" w:ascii="Times New Roman" w:hAnsi="Times New Roman"/>
          <w:szCs w:val="24"/>
        </w:rPr>
        <w:t>（成交）人，</w:t>
      </w:r>
      <w:r>
        <w:rPr>
          <w:rFonts w:hint="eastAsia" w:ascii="Times New Roman" w:hAnsi="Times New Roman"/>
          <w:szCs w:val="21"/>
        </w:rPr>
        <w:t>应卖方申请，我方愿意无条件地、不可撤销地就卖方履行与你方签订的合同，向你方提供连带责任担保。</w:t>
      </w:r>
      <w:r>
        <w:rPr>
          <w:rFonts w:ascii="Times New Roman" w:hAnsi="Times New Roman"/>
          <w:szCs w:val="24"/>
        </w:rPr>
        <w:t>我方愿意无条件地、不可撤销地就</w:t>
      </w:r>
      <w:r>
        <w:rPr>
          <w:rFonts w:ascii="Times New Roman" w:hAnsi="Times New Roman"/>
          <w:szCs w:val="21"/>
        </w:rPr>
        <w:t>卖方</w:t>
      </w:r>
      <w:r>
        <w:rPr>
          <w:rFonts w:ascii="Times New Roman" w:hAnsi="Times New Roman"/>
          <w:szCs w:val="24"/>
        </w:rPr>
        <w:t>履行与你方订立的合同，向你方提供</w:t>
      </w:r>
      <w:r>
        <w:rPr>
          <w:rFonts w:hint="eastAsia" w:ascii="Times New Roman" w:hAnsi="Times New Roman"/>
          <w:szCs w:val="21"/>
        </w:rPr>
        <w:t>连带责任</w:t>
      </w:r>
      <w:r>
        <w:rPr>
          <w:rFonts w:ascii="Times New Roman" w:hAnsi="Times New Roman"/>
          <w:szCs w:val="24"/>
        </w:rPr>
        <w:t>担保。</w:t>
      </w:r>
    </w:p>
    <w:p>
      <w:pPr>
        <w:spacing w:line="360" w:lineRule="auto"/>
        <w:ind w:firstLine="480" w:firstLineChars="200"/>
        <w:rPr>
          <w:rFonts w:ascii="Times New Roman" w:hAnsi="Times New Roman"/>
          <w:szCs w:val="24"/>
        </w:rPr>
      </w:pPr>
      <w:r>
        <w:rPr>
          <w:rFonts w:ascii="Times New Roman" w:hAnsi="Times New Roman"/>
          <w:szCs w:val="24"/>
        </w:rPr>
        <w:t>1. 担保金额人民币</w:t>
      </w:r>
      <w:r>
        <w:rPr>
          <w:rFonts w:ascii="Times New Roman" w:hAnsi="Times New Roman"/>
          <w:szCs w:val="21"/>
        </w:rPr>
        <w:t>（大写）</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4"/>
        </w:rPr>
        <w:t>。</w:t>
      </w:r>
    </w:p>
    <w:p>
      <w:pPr>
        <w:spacing w:line="360" w:lineRule="auto"/>
        <w:ind w:firstLine="480" w:firstLineChars="200"/>
        <w:rPr>
          <w:rFonts w:ascii="Times New Roman" w:hAnsi="Times New Roman"/>
          <w:szCs w:val="24"/>
        </w:rPr>
      </w:pPr>
      <w:r>
        <w:rPr>
          <w:rFonts w:ascii="Times New Roman" w:hAnsi="Times New Roman"/>
          <w:szCs w:val="24"/>
        </w:rPr>
        <w:t>2. 在本担保有效期内，</w:t>
      </w:r>
      <w:r>
        <w:rPr>
          <w:rFonts w:ascii="Times New Roman" w:hAnsi="Times New Roman"/>
          <w:szCs w:val="21"/>
        </w:rPr>
        <w:t>如果卖方不履行合同约定的义务或其履行不符合合同的约定，</w:t>
      </w:r>
      <w:r>
        <w:rPr>
          <w:rFonts w:ascii="Times New Roman" w:hAnsi="Times New Roman"/>
          <w:szCs w:val="24"/>
        </w:rPr>
        <w:t>我方在收到你方以书面形式提出的在担保金额内的赔偿要求后，在7日内无条件支付。</w:t>
      </w:r>
    </w:p>
    <w:p>
      <w:pPr>
        <w:spacing w:line="360" w:lineRule="auto"/>
        <w:ind w:firstLine="480" w:firstLineChars="200"/>
        <w:rPr>
          <w:rFonts w:ascii="Times New Roman" w:hAnsi="Times New Roman"/>
          <w:szCs w:val="24"/>
        </w:rPr>
      </w:pPr>
      <w:r>
        <w:rPr>
          <w:rFonts w:hint="eastAsia" w:ascii="Times New Roman" w:hAnsi="Times New Roman" w:eastAsia="宋体"/>
          <w:szCs w:val="24"/>
          <w:lang w:val="en-US" w:eastAsia="zh-CN"/>
        </w:rPr>
        <w:t>3</w:t>
      </w:r>
      <w:r>
        <w:rPr>
          <w:rFonts w:ascii="Times New Roman" w:hAnsi="Times New Roman"/>
          <w:szCs w:val="24"/>
        </w:rPr>
        <w:t>. 买方和</w:t>
      </w:r>
      <w:r>
        <w:rPr>
          <w:rFonts w:ascii="Times New Roman" w:hAnsi="Times New Roman"/>
          <w:szCs w:val="21"/>
        </w:rPr>
        <w:t>卖方</w:t>
      </w:r>
      <w:r>
        <w:rPr>
          <w:rFonts w:hint="eastAsia" w:ascii="Times New Roman" w:hAnsi="Times New Roman"/>
          <w:szCs w:val="21"/>
        </w:rPr>
        <w:t>按合同约定</w:t>
      </w:r>
      <w:r>
        <w:rPr>
          <w:rFonts w:ascii="Times New Roman" w:hAnsi="Times New Roman"/>
          <w:szCs w:val="24"/>
        </w:rPr>
        <w:t>变更合同时</w:t>
      </w:r>
      <w:bookmarkStart w:id="264" w:name="_Toc246996336"/>
      <w:bookmarkStart w:id="265" w:name="_Toc296602586"/>
      <w:bookmarkStart w:id="266" w:name="_Toc184635123"/>
      <w:bookmarkStart w:id="267" w:name="_Toc369531685"/>
      <w:bookmarkStart w:id="268" w:name="_Toc15620"/>
      <w:bookmarkStart w:id="269" w:name="_Toc247514198"/>
      <w:bookmarkStart w:id="270" w:name="_Toc361508743"/>
      <w:bookmarkStart w:id="271" w:name="_Toc384308366"/>
      <w:bookmarkStart w:id="272" w:name="_Toc247527799"/>
      <w:bookmarkStart w:id="273" w:name="_Toc300835200"/>
      <w:bookmarkStart w:id="274" w:name="_Toc246997079"/>
      <w:bookmarkStart w:id="275" w:name="_Toc361231267"/>
      <w:bookmarkStart w:id="276" w:name="_Toc247085851"/>
      <w:r>
        <w:rPr>
          <w:rFonts w:ascii="Times New Roman" w:hAnsi="Times New Roman"/>
          <w:szCs w:val="24"/>
        </w:rPr>
        <w:t>，无论我方是否收到该</w:t>
      </w:r>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Times New Roman" w:hAnsi="Times New Roman"/>
          <w:szCs w:val="24"/>
        </w:rPr>
        <w:t>变</w:t>
      </w:r>
      <w:bookmarkStart w:id="277" w:name="_Toc247527800"/>
      <w:bookmarkStart w:id="278" w:name="_Toc247514199"/>
      <w:bookmarkStart w:id="279" w:name="_Toc369531686"/>
      <w:bookmarkStart w:id="280" w:name="_Toc179632786"/>
      <w:bookmarkStart w:id="281" w:name="_Toc361231268"/>
      <w:bookmarkStart w:id="282" w:name="_Toc300835201"/>
      <w:bookmarkStart w:id="283" w:name="_Toc384308367"/>
      <w:bookmarkStart w:id="284" w:name="_Toc246996337"/>
      <w:bookmarkStart w:id="285" w:name="_Toc144974827"/>
      <w:bookmarkStart w:id="286" w:name="_Toc361508744"/>
      <w:bookmarkStart w:id="287" w:name="_Toc5746"/>
      <w:bookmarkStart w:id="288" w:name="_Toc152045768"/>
      <w:bookmarkStart w:id="289" w:name="_Toc247085852"/>
      <w:bookmarkStart w:id="290" w:name="_Toc152042547"/>
      <w:bookmarkStart w:id="291" w:name="_Toc246997080"/>
      <w:r>
        <w:rPr>
          <w:rFonts w:ascii="Times New Roman" w:hAnsi="Times New Roman"/>
          <w:szCs w:val="24"/>
        </w:rPr>
        <w:t>更，我方承担本</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Pr>
          <w:rFonts w:ascii="Times New Roman" w:hAnsi="Times New Roman"/>
          <w:szCs w:val="24"/>
        </w:rPr>
        <w:t>担保规定的义务不变。</w:t>
      </w:r>
    </w:p>
    <w:p>
      <w:pPr>
        <w:spacing w:line="360" w:lineRule="auto"/>
        <w:ind w:firstLine="480" w:firstLineChars="200"/>
        <w:rPr>
          <w:rFonts w:hint="eastAsia" w:ascii="Times New Roman" w:hAnsi="Times New Roman"/>
          <w:szCs w:val="21"/>
        </w:rPr>
      </w:pPr>
      <w:r>
        <w:rPr>
          <w:rFonts w:hint="eastAsia" w:ascii="Times New Roman" w:hAnsi="Times New Roman" w:eastAsia="宋体"/>
          <w:szCs w:val="21"/>
          <w:lang w:val="en-US" w:eastAsia="zh-CN"/>
        </w:rPr>
        <w:t>4</w:t>
      </w:r>
      <w:r>
        <w:rPr>
          <w:rFonts w:hint="eastAsia" w:ascii="Times New Roman" w:hAnsi="Times New Roman"/>
          <w:szCs w:val="21"/>
        </w:rPr>
        <w:t>. 因本保函发生的纠纷，可由双方协商解决，协商不成的，任何一方均可提请</w:t>
      </w:r>
      <w:r>
        <w:rPr>
          <w:rFonts w:hint="eastAsia" w:ascii="Times New Roman" w:hAnsi="Times New Roman"/>
          <w:szCs w:val="21"/>
          <w:u w:val="single"/>
        </w:rPr>
        <w:t xml:space="preserve">        </w:t>
      </w:r>
      <w:r>
        <w:rPr>
          <w:rFonts w:hint="eastAsia" w:ascii="Times New Roman" w:hAnsi="Times New Roman"/>
          <w:szCs w:val="21"/>
        </w:rPr>
        <w:t>仲裁委员会仲裁。</w:t>
      </w:r>
    </w:p>
    <w:p>
      <w:pPr>
        <w:spacing w:line="360" w:lineRule="auto"/>
        <w:ind w:firstLine="480" w:firstLineChars="200"/>
        <w:rPr>
          <w:rFonts w:hint="eastAsia" w:ascii="Times New Roman" w:hAnsi="Times New Roman"/>
          <w:color w:val="000000"/>
          <w:szCs w:val="24"/>
        </w:rPr>
      </w:pPr>
      <w:r>
        <w:rPr>
          <w:rFonts w:hint="eastAsia" w:ascii="Times New Roman" w:hAnsi="Times New Roman" w:eastAsia="宋体"/>
          <w:szCs w:val="21"/>
          <w:lang w:val="en-US" w:eastAsia="zh-CN"/>
        </w:rPr>
        <w:t xml:space="preserve">5 </w:t>
      </w:r>
      <w:r>
        <w:rPr>
          <w:rFonts w:hint="eastAsia" w:ascii="Times New Roman" w:hAnsi="Times New Roman"/>
          <w:szCs w:val="21"/>
        </w:rPr>
        <w:t>. 本保函自我方</w:t>
      </w:r>
      <w:r>
        <w:rPr>
          <w:rFonts w:hint="eastAsia" w:ascii="Times New Roman" w:hAnsi="Times New Roman"/>
          <w:szCs w:val="24"/>
        </w:rPr>
        <w:t>法定</w:t>
      </w:r>
      <w:r>
        <w:rPr>
          <w:rFonts w:hint="eastAsia" w:ascii="Times New Roman" w:hAnsi="Times New Roman"/>
          <w:szCs w:val="21"/>
        </w:rPr>
        <w:t>代表人（或其授权代理人）签字并加盖公章之日起生效。</w:t>
      </w:r>
    </w:p>
    <w:p>
      <w:pPr>
        <w:spacing w:line="360" w:lineRule="auto"/>
        <w:ind w:firstLine="2640" w:firstLineChars="1100"/>
        <w:rPr>
          <w:rFonts w:ascii="Times New Roman" w:hAnsi="Times New Roman"/>
          <w:color w:val="000000"/>
          <w:szCs w:val="24"/>
        </w:rPr>
      </w:pPr>
      <w:r>
        <w:rPr>
          <w:rFonts w:hint="eastAsia" w:ascii="Times New Roman" w:hAnsi="Times New Roman"/>
          <w:color w:val="000000"/>
          <w:szCs w:val="24"/>
        </w:rPr>
        <w:t>担保人名称</w:t>
      </w:r>
      <w:r>
        <w:rPr>
          <w:rFonts w:ascii="Times New Roman" w:hAnsi="Times New Roman"/>
          <w:color w:val="000000"/>
          <w:szCs w:val="24"/>
        </w:rPr>
        <w:t>：</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ascii="Times New Roman" w:hAnsi="Times New Roman"/>
          <w:color w:val="000000"/>
          <w:szCs w:val="24"/>
        </w:rPr>
        <w:t>（盖单位章）</w:t>
      </w:r>
    </w:p>
    <w:p>
      <w:pPr>
        <w:spacing w:line="360" w:lineRule="auto"/>
        <w:ind w:firstLine="2640" w:firstLineChars="1100"/>
        <w:rPr>
          <w:rFonts w:ascii="Times New Roman" w:hAnsi="Times New Roman"/>
          <w:color w:val="000000"/>
          <w:szCs w:val="24"/>
        </w:rPr>
      </w:pPr>
      <w:r>
        <w:rPr>
          <w:rFonts w:ascii="Times New Roman" w:hAnsi="Times New Roman"/>
          <w:color w:val="000000"/>
          <w:szCs w:val="24"/>
        </w:rPr>
        <w:t>法定代表人（单位负责人）或其委托代理人：</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ascii="Times New Roman" w:hAnsi="Times New Roman"/>
          <w:color w:val="000000"/>
          <w:szCs w:val="24"/>
        </w:rPr>
        <w:t>（签字）</w:t>
      </w:r>
    </w:p>
    <w:p>
      <w:pPr>
        <w:spacing w:line="360" w:lineRule="auto"/>
        <w:ind w:firstLine="2640" w:firstLineChars="1100"/>
        <w:rPr>
          <w:rFonts w:ascii="Times New Roman" w:hAnsi="Times New Roman"/>
          <w:color w:val="000000"/>
          <w:szCs w:val="24"/>
        </w:rPr>
      </w:pPr>
      <w:r>
        <w:rPr>
          <w:rFonts w:ascii="Times New Roman" w:hAnsi="Times New Roman"/>
          <w:color w:val="000000"/>
          <w:szCs w:val="24"/>
        </w:rPr>
        <w:t>地址：</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p>
    <w:p>
      <w:pPr>
        <w:spacing w:line="360" w:lineRule="auto"/>
        <w:ind w:firstLine="2640" w:firstLineChars="1100"/>
        <w:rPr>
          <w:rFonts w:ascii="Times New Roman" w:hAnsi="Times New Roman"/>
          <w:color w:val="000000"/>
          <w:szCs w:val="24"/>
        </w:rPr>
      </w:pPr>
      <w:r>
        <w:rPr>
          <w:rFonts w:ascii="Times New Roman" w:hAnsi="Times New Roman"/>
          <w:color w:val="000000"/>
          <w:szCs w:val="24"/>
        </w:rPr>
        <w:t>邮政编码：</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p>
    <w:p>
      <w:pPr>
        <w:spacing w:line="360" w:lineRule="auto"/>
        <w:ind w:firstLine="2640" w:firstLineChars="1100"/>
        <w:rPr>
          <w:rFonts w:hint="eastAsia" w:ascii="Times New Roman" w:hAnsi="Times New Roman"/>
          <w:color w:val="000000"/>
          <w:szCs w:val="24"/>
        </w:rPr>
      </w:pPr>
      <w:r>
        <w:rPr>
          <w:rFonts w:ascii="Times New Roman" w:hAnsi="Times New Roman"/>
          <w:color w:val="000000"/>
          <w:szCs w:val="24"/>
        </w:rPr>
        <w:t>电话：</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szCs w:val="21"/>
          <w:u w:val="single"/>
        </w:rPr>
        <w:t xml:space="preserve"> </w:t>
      </w:r>
      <w:r>
        <w:rPr>
          <w:rFonts w:hint="eastAsia" w:ascii="Times New Roman" w:hAnsi="Times New Roman" w:eastAsia="楷体"/>
          <w:szCs w:val="21"/>
          <w:u w:val="single"/>
        </w:rPr>
        <w:t xml:space="preserve">       </w:t>
      </w:r>
      <w:r>
        <w:rPr>
          <w:rFonts w:ascii="Times New Roman" w:hAnsi="Times New Roman"/>
          <w:color w:val="000000"/>
          <w:szCs w:val="24"/>
        </w:rPr>
        <w:t>年</w:t>
      </w:r>
      <w:r>
        <w:rPr>
          <w:rFonts w:hint="eastAsia" w:ascii="Times New Roman" w:hAnsi="Times New Roman" w:eastAsia="楷体"/>
          <w:szCs w:val="21"/>
          <w:u w:val="single"/>
        </w:rPr>
        <w:t xml:space="preserve">       </w:t>
      </w:r>
      <w:r>
        <w:rPr>
          <w:rFonts w:ascii="Times New Roman" w:hAnsi="Times New Roman"/>
          <w:color w:val="000000"/>
          <w:szCs w:val="24"/>
        </w:rPr>
        <w:t>月</w:t>
      </w:r>
      <w:r>
        <w:rPr>
          <w:rFonts w:hint="eastAsia" w:ascii="Times New Roman" w:hAnsi="Times New Roman" w:eastAsia="楷体"/>
          <w:szCs w:val="21"/>
          <w:u w:val="single"/>
        </w:rPr>
        <w:t xml:space="preserve">       </w:t>
      </w:r>
      <w:r>
        <w:rPr>
          <w:rFonts w:ascii="Times New Roman" w:hAnsi="Times New Roman"/>
          <w:color w:val="000000"/>
          <w:szCs w:val="24"/>
        </w:rPr>
        <w:t>日</w:t>
      </w:r>
    </w:p>
    <w:p>
      <w:pPr>
        <w:keepNext/>
        <w:keepLines/>
        <w:spacing w:before="120" w:after="120" w:line="360" w:lineRule="auto"/>
        <w:ind w:firstLine="137"/>
        <w:jc w:val="left"/>
        <w:outlineLvl w:val="2"/>
        <w:rPr>
          <w:rFonts w:ascii="Times New Roman" w:hAnsi="Times New Roman" w:eastAsia="黑体"/>
          <w:sz w:val="24"/>
          <w:szCs w:val="24"/>
        </w:rPr>
      </w:pPr>
      <w:r>
        <w:rPr>
          <w:rFonts w:ascii="Times New Roman" w:hAnsi="Times New Roman" w:eastAsia="黑体"/>
          <w:sz w:val="24"/>
          <w:szCs w:val="24"/>
        </w:rPr>
        <w:br w:type="page"/>
      </w:r>
      <w:r>
        <w:rPr>
          <w:rFonts w:hint="eastAsia" w:ascii="Times New Roman" w:hAnsi="Times New Roman" w:eastAsia="黑体"/>
          <w:sz w:val="24"/>
          <w:szCs w:val="24"/>
        </w:rPr>
        <w:t>附</w:t>
      </w:r>
      <w:bookmarkStart w:id="292" w:name="_Toc296891059"/>
      <w:bookmarkStart w:id="293" w:name="_Toc296347230"/>
      <w:bookmarkStart w:id="294" w:name="_Toc296891271"/>
      <w:bookmarkStart w:id="295" w:name="_Toc296944570"/>
      <w:bookmarkStart w:id="296" w:name="_Toc296346732"/>
      <w:bookmarkStart w:id="297" w:name="_Toc296503231"/>
      <w:r>
        <w:rPr>
          <w:rFonts w:hint="eastAsia" w:ascii="Times New Roman" w:hAnsi="Times New Roman" w:eastAsia="黑体"/>
          <w:sz w:val="24"/>
          <w:szCs w:val="24"/>
        </w:rPr>
        <w:t>件二：廉政协议</w:t>
      </w:r>
    </w:p>
    <w:bookmarkEnd w:id="292"/>
    <w:bookmarkEnd w:id="293"/>
    <w:bookmarkEnd w:id="294"/>
    <w:bookmarkEnd w:id="295"/>
    <w:bookmarkEnd w:id="296"/>
    <w:bookmarkEnd w:id="297"/>
    <w:p>
      <w:pPr>
        <w:widowControl/>
        <w:spacing w:line="360" w:lineRule="auto"/>
        <w:ind w:firstLine="643"/>
        <w:jc w:val="center"/>
        <w:rPr>
          <w:rFonts w:ascii="Times New Roman" w:hAnsi="Times New Roman"/>
          <w:b/>
          <w:bCs/>
          <w:kern w:val="0"/>
          <w:sz w:val="32"/>
          <w:szCs w:val="32"/>
        </w:rPr>
      </w:pPr>
      <w:r>
        <w:rPr>
          <w:rFonts w:hint="eastAsia" w:ascii="Times New Roman" w:hAnsi="Times New Roman"/>
          <w:b/>
          <w:bCs/>
          <w:kern w:val="0"/>
          <w:sz w:val="32"/>
          <w:szCs w:val="32"/>
        </w:rPr>
        <w:t>廉 政 协 议</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为促进双方诚信经营、廉洁从业，防范商业贿赂，保护国家、集体和当事人的合法权益，根据国家有关法律法规和安徽省、合肥市廉政</w:t>
      </w:r>
      <w:r>
        <w:rPr>
          <w:rFonts w:hint="eastAsia" w:ascii="Times New Roman" w:hAnsi="Times New Roman" w:eastAsia="宋体"/>
          <w:kern w:val="0"/>
          <w:szCs w:val="21"/>
          <w:lang w:eastAsia="zh-CN"/>
        </w:rPr>
        <w:t>服务</w:t>
      </w:r>
      <w:r>
        <w:rPr>
          <w:rFonts w:hint="eastAsia" w:ascii="Times New Roman" w:hAnsi="Times New Roman"/>
          <w:kern w:val="0"/>
          <w:szCs w:val="21"/>
        </w:rPr>
        <w:t>的规定，</w:t>
      </w:r>
      <w:r>
        <w:rPr>
          <w:rFonts w:hint="eastAsia" w:ascii="Times New Roman" w:hAnsi="Times New Roman"/>
          <w:kern w:val="0"/>
          <w:szCs w:val="21"/>
          <w:u w:val="single"/>
        </w:rPr>
        <w:t xml:space="preserve">                </w:t>
      </w:r>
      <w:r>
        <w:rPr>
          <w:rFonts w:ascii="Times New Roman" w:hAnsi="Times New Roman"/>
          <w:szCs w:val="24"/>
        </w:rPr>
        <w:t>（买方名称，以下简称“买方”）</w:t>
      </w:r>
      <w:r>
        <w:rPr>
          <w:rFonts w:hint="eastAsia" w:ascii="Times New Roman" w:hAnsi="Times New Roman"/>
          <w:kern w:val="0"/>
          <w:szCs w:val="21"/>
        </w:rPr>
        <w:t>与</w:t>
      </w:r>
      <w:r>
        <w:rPr>
          <w:rFonts w:hint="eastAsia" w:ascii="Times New Roman" w:hAnsi="Times New Roman"/>
          <w:kern w:val="0"/>
          <w:szCs w:val="21"/>
          <w:u w:val="single"/>
        </w:rPr>
        <w:t xml:space="preserve">                     </w:t>
      </w:r>
      <w:r>
        <w:rPr>
          <w:rFonts w:ascii="Times New Roman" w:hAnsi="Times New Roman"/>
          <w:szCs w:val="24"/>
        </w:rPr>
        <w:t>（</w:t>
      </w:r>
      <w:r>
        <w:rPr>
          <w:rFonts w:ascii="Times New Roman" w:hAnsi="Times New Roman"/>
          <w:szCs w:val="21"/>
        </w:rPr>
        <w:t>卖方</w:t>
      </w:r>
      <w:r>
        <w:rPr>
          <w:rFonts w:ascii="Times New Roman" w:hAnsi="Times New Roman"/>
          <w:szCs w:val="24"/>
        </w:rPr>
        <w:t>名称，以下</w:t>
      </w:r>
      <w:r>
        <w:rPr>
          <w:rFonts w:ascii="Times New Roman" w:hAnsi="Times New Roman"/>
          <w:szCs w:val="21"/>
        </w:rPr>
        <w:t>称“卖方”</w:t>
      </w:r>
      <w:r>
        <w:rPr>
          <w:rFonts w:ascii="Times New Roman" w:hAnsi="Times New Roman"/>
          <w:szCs w:val="24"/>
        </w:rPr>
        <w:t>）</w:t>
      </w:r>
      <w:r>
        <w:rPr>
          <w:rFonts w:hint="eastAsia" w:ascii="Times New Roman" w:hAnsi="Times New Roman"/>
          <w:kern w:val="0"/>
          <w:szCs w:val="21"/>
        </w:rPr>
        <w:t>，特此订立本协议共同遵照执行。</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第一条 买卖双方的权利和义务</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w:t>
      </w:r>
      <w:r>
        <w:rPr>
          <w:rFonts w:hint="eastAsia" w:ascii="Times New Roman" w:hAnsi="Times New Roman" w:eastAsia="宋体"/>
          <w:kern w:val="0"/>
          <w:szCs w:val="21"/>
          <w:lang w:eastAsia="zh-CN"/>
        </w:rPr>
        <w:t>服务</w:t>
      </w:r>
      <w:r>
        <w:rPr>
          <w:rFonts w:hint="eastAsia" w:ascii="Times New Roman" w:hAnsi="Times New Roman"/>
          <w:kern w:val="0"/>
          <w:szCs w:val="21"/>
        </w:rPr>
        <w:t>的规定。</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（二）严格执行</w:t>
      </w:r>
      <w:r>
        <w:rPr>
          <w:rFonts w:hint="eastAsia" w:ascii="Times New Roman" w:hAnsi="Times New Roman"/>
          <w:kern w:val="0"/>
          <w:szCs w:val="21"/>
          <w:u w:val="single"/>
        </w:rPr>
        <w:t xml:space="preserve">                                </w:t>
      </w:r>
      <w:r>
        <w:rPr>
          <w:rFonts w:hint="eastAsia" w:ascii="Times New Roman" w:hAnsi="Times New Roman"/>
          <w:kern w:val="0"/>
          <w:szCs w:val="21"/>
        </w:rPr>
        <w:t>的合同要求，自觉履行合同约定的相关义务。</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（三）在业务活动中坚持公开、公正、诚信、透明的原则，不得损害国家、集体利益。</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（四）建立健全廉政制度，开展廉政教育，公布举报电话，监督并认真查处违法违纪行为。</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第二条 买方的义务</w:t>
      </w:r>
    </w:p>
    <w:p>
      <w:pPr>
        <w:widowControl/>
        <w:spacing w:line="360" w:lineRule="auto"/>
        <w:ind w:firstLine="600" w:firstLineChars="250"/>
        <w:jc w:val="left"/>
        <w:rPr>
          <w:rFonts w:ascii="Times New Roman" w:hAnsi="Times New Roman"/>
          <w:kern w:val="0"/>
          <w:szCs w:val="21"/>
        </w:rPr>
      </w:pPr>
      <w:r>
        <w:rPr>
          <w:rFonts w:hint="eastAsia" w:ascii="Times New Roman" w:hAnsi="Times New Roman"/>
          <w:kern w:val="0"/>
          <w:szCs w:val="21"/>
        </w:rPr>
        <w:t>（一）买方及其工作人员不得索要或接受卖方的礼金、有价证券和贵重物品，不得在卖方报销任何应由买方单位或个人支付的费用等。</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（三）买方及其工作人员不得要求或者接受卖方为其住房装修、婚丧嫁娶活动、配偶子女工作安排以及出国出境、旅游等提供方便等。</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（四）买方工作人员不得在卖方有股权关联的企业兼职，不得向卖方介绍家属或者亲友从事与买方业务有关的经济活动。</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（六）买方工作人员不得利用职务之便收受卖方以回扣、手续费、加班费、咨询费、劳务费、协调费、辛苦费等各种名义给予或赠送的钱物。</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（七）买方工作人员不得接受卖方给予或赠送的干股或红利。</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（八）买方任何人不得以个人的名义向卖方推荐设备、部件等供货商以及其它合作单位。</w:t>
      </w:r>
    </w:p>
    <w:p>
      <w:pPr>
        <w:widowControl/>
        <w:spacing w:line="360" w:lineRule="auto"/>
        <w:ind w:firstLine="480" w:firstLineChars="200"/>
        <w:jc w:val="left"/>
        <w:rPr>
          <w:rFonts w:hint="eastAsia" w:ascii="Times New Roman" w:hAnsi="Times New Roman"/>
          <w:kern w:val="0"/>
          <w:szCs w:val="21"/>
        </w:rPr>
      </w:pPr>
      <w:r>
        <w:rPr>
          <w:rFonts w:hint="eastAsia" w:ascii="Times New Roman" w:hAnsi="Times New Roman"/>
          <w:kern w:val="0"/>
          <w:szCs w:val="21"/>
        </w:rPr>
        <w:t>第三条 卖方的义务</w:t>
      </w:r>
    </w:p>
    <w:p>
      <w:pPr>
        <w:widowControl/>
        <w:spacing w:line="360" w:lineRule="auto"/>
        <w:ind w:firstLine="484" w:firstLineChars="202"/>
        <w:jc w:val="left"/>
        <w:rPr>
          <w:rFonts w:hint="eastAsia" w:ascii="Times New Roman" w:hAnsi="Times New Roman"/>
          <w:kern w:val="0"/>
          <w:szCs w:val="21"/>
        </w:rPr>
      </w:pPr>
      <w:r>
        <w:rPr>
          <w:rFonts w:hint="eastAsia" w:ascii="Times New Roman" w:hAnsi="Times New Roman"/>
          <w:kern w:val="0"/>
          <w:szCs w:val="21"/>
        </w:rPr>
        <w:t>（一）卖方不得以任何理由向买方及其工作人员行贿或馈赠礼金、有价证券、贵重礼品。</w:t>
      </w:r>
    </w:p>
    <w:p>
      <w:pPr>
        <w:widowControl/>
        <w:spacing w:line="360" w:lineRule="auto"/>
        <w:ind w:firstLine="484" w:firstLineChars="202"/>
        <w:jc w:val="left"/>
        <w:rPr>
          <w:rFonts w:hint="eastAsia" w:ascii="Times New Roman" w:hAnsi="Times New Roman"/>
          <w:kern w:val="0"/>
          <w:szCs w:val="21"/>
        </w:rPr>
      </w:pPr>
      <w:r>
        <w:rPr>
          <w:rFonts w:hint="eastAsia" w:ascii="Times New Roman" w:hAnsi="Times New Roman"/>
          <w:kern w:val="0"/>
          <w:szCs w:val="21"/>
        </w:rPr>
        <w:t>（二）卖方不得以任何名义为买方及其工作人员报销应由买方单位或个人支付的任何费用。</w:t>
      </w:r>
    </w:p>
    <w:p>
      <w:pPr>
        <w:widowControl/>
        <w:spacing w:line="360" w:lineRule="auto"/>
        <w:ind w:firstLine="484" w:firstLineChars="202"/>
        <w:jc w:val="left"/>
        <w:rPr>
          <w:rFonts w:ascii="Times New Roman" w:hAnsi="Times New Roman"/>
          <w:kern w:val="0"/>
          <w:szCs w:val="21"/>
        </w:rPr>
      </w:pPr>
      <w:r>
        <w:rPr>
          <w:rFonts w:hint="eastAsia" w:ascii="Times New Roman" w:hAnsi="Times New Roman"/>
          <w:kern w:val="0"/>
          <w:szCs w:val="21"/>
        </w:rPr>
        <w:t>（三）卖方不得以任何理由安排买方工作人员参加可能影响相关业务公开、公正、公平性的宴请及娱乐活动。</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（四）卖方不得为买方单位和个人购置或提供通讯工具和高档办公用品等物品，也不得为买方提供与工作无关的房屋、汽车等。</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（五）卖方不得与买方工作人员就合同中的质量、数量、价格、工程量、验收等条款进行私下商谈或者达成默契。</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（六）卖方不得以回扣、手续费、加班费、咨询费、劳务费、协调费、辛苦费等各种名义向买方工作人员给予或赠送钱物。</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（七）卖方不得向买方工作人员提供干股或红利。</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（八）卖方须按</w:t>
      </w:r>
      <w:r>
        <w:rPr>
          <w:rFonts w:hint="eastAsia" w:ascii="Times New Roman" w:hAnsi="Times New Roman"/>
          <w:kern w:val="0"/>
          <w:szCs w:val="21"/>
          <w:u w:val="single"/>
        </w:rPr>
        <w:t xml:space="preserve">         </w:t>
      </w:r>
      <w:r>
        <w:rPr>
          <w:rFonts w:hint="eastAsia" w:ascii="Times New Roman" w:hAnsi="Times New Roman"/>
          <w:kern w:val="0"/>
          <w:szCs w:val="21"/>
        </w:rPr>
        <w:t>专项纪检监察工作组(如有)要求开展相关工作。</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第四条 违约责任</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一）买方及其工作人员违反本协议第一、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买方投诉联系部门：</w:t>
      </w:r>
      <w:r>
        <w:rPr>
          <w:rFonts w:hint="eastAsia" w:ascii="Times New Roman" w:hAnsi="Times New Roman"/>
          <w:kern w:val="0"/>
          <w:szCs w:val="21"/>
          <w:u w:val="single"/>
        </w:rPr>
        <w:t xml:space="preserve">           </w:t>
      </w:r>
      <w:r>
        <w:rPr>
          <w:rFonts w:hint="eastAsia" w:ascii="Times New Roman" w:hAnsi="Times New Roman"/>
          <w:kern w:val="0"/>
          <w:szCs w:val="21"/>
        </w:rPr>
        <w:t>，联系电话：</w:t>
      </w:r>
      <w:r>
        <w:rPr>
          <w:rFonts w:hint="eastAsia" w:ascii="Times New Roman" w:hAnsi="Times New Roman"/>
          <w:kern w:val="0"/>
          <w:szCs w:val="21"/>
          <w:u w:val="single"/>
        </w:rPr>
        <w:t xml:space="preserve">           </w:t>
      </w:r>
      <w:r>
        <w:rPr>
          <w:rFonts w:hint="eastAsia" w:ascii="Times New Roman" w:hAnsi="Times New Roman"/>
          <w:kern w:val="0"/>
          <w:szCs w:val="21"/>
        </w:rPr>
        <w:t>。</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（二）卖方及其工作人员违反本协议第一、三条规定。根据具体情节和造成的后果，买方有权对卖方采取以下一种或多种处理办法：</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 xml:space="preserve">1.全额收取卖方合同履约保证金不予退还； </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2.追究卖方其他违约责任；</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3.终止或解除双方已签订的包括本合同在内的所有合同；</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4.卖方一定期限内（6个月至3年，具体由买方根据情况而定）不得参与买方作为发包人（业主）的项目投标。</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买方作出的处理意见，卖方应无条件接受并承担给买方造成的损失，全额返还通过不正当手段从买方获取的非法所得，并承担相应的法律责任。</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第五条 双方约定</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 xml:space="preserve">第六条  本协议有效期为买卖双方签署之日起至合同终止。  </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第七条  本协议作为合同的附件，与本合同具有同等法律效力。</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 xml:space="preserve"> </w:t>
      </w:r>
    </w:p>
    <w:p>
      <w:pPr>
        <w:widowControl/>
        <w:spacing w:line="360" w:lineRule="auto"/>
        <w:ind w:firstLine="480" w:firstLineChars="200"/>
        <w:jc w:val="left"/>
        <w:rPr>
          <w:rFonts w:hint="eastAsia" w:ascii="Times New Roman" w:hAnsi="Times New Roman"/>
          <w:kern w:val="0"/>
          <w:szCs w:val="21"/>
        </w:rPr>
      </w:pPr>
      <w:r>
        <w:rPr>
          <w:rFonts w:hint="eastAsia" w:ascii="Times New Roman" w:hAnsi="Times New Roman"/>
          <w:kern w:val="0"/>
          <w:szCs w:val="21"/>
        </w:rPr>
        <w:t xml:space="preserve">买方（盖章）： </w:t>
      </w:r>
      <w:r>
        <w:rPr>
          <w:rFonts w:hint="eastAsia" w:ascii="Times New Roman" w:hAnsi="Times New Roman"/>
          <w:kern w:val="0"/>
          <w:szCs w:val="21"/>
          <w:u w:val="single"/>
        </w:rPr>
        <w:t xml:space="preserve">                      </w:t>
      </w:r>
      <w:r>
        <w:rPr>
          <w:rFonts w:hint="eastAsia" w:ascii="Times New Roman" w:hAnsi="Times New Roman"/>
          <w:kern w:val="0"/>
          <w:szCs w:val="21"/>
        </w:rPr>
        <w:t xml:space="preserve">       卖方（盖章）：</w:t>
      </w:r>
      <w:r>
        <w:rPr>
          <w:rFonts w:hint="eastAsia" w:ascii="Times New Roman" w:hAnsi="Times New Roman"/>
          <w:kern w:val="0"/>
          <w:szCs w:val="21"/>
          <w:u w:val="single"/>
        </w:rPr>
        <w:t xml:space="preserve">                      </w:t>
      </w:r>
    </w:p>
    <w:p>
      <w:pPr>
        <w:widowControl/>
        <w:spacing w:line="360" w:lineRule="auto"/>
        <w:ind w:firstLine="480" w:firstLineChars="200"/>
        <w:jc w:val="left"/>
        <w:rPr>
          <w:rFonts w:ascii="Times New Roman" w:hAnsi="Times New Roman"/>
          <w:kern w:val="0"/>
          <w:szCs w:val="21"/>
        </w:rPr>
      </w:pP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法定代表人或                                法定代表人或</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授权代表：</w:t>
      </w:r>
      <w:r>
        <w:rPr>
          <w:rFonts w:hint="eastAsia" w:ascii="Times New Roman" w:hAnsi="Times New Roman"/>
          <w:kern w:val="0"/>
          <w:szCs w:val="21"/>
          <w:u w:val="single"/>
        </w:rPr>
        <w:t xml:space="preserve">              </w:t>
      </w:r>
      <w:r>
        <w:rPr>
          <w:rFonts w:hint="eastAsia" w:ascii="Times New Roman" w:hAnsi="Times New Roman"/>
          <w:kern w:val="0"/>
          <w:szCs w:val="21"/>
        </w:rPr>
        <w:t>(职务)              授权代表：</w:t>
      </w:r>
      <w:r>
        <w:rPr>
          <w:rFonts w:hint="eastAsia" w:ascii="Times New Roman" w:hAnsi="Times New Roman"/>
          <w:kern w:val="0"/>
          <w:szCs w:val="21"/>
          <w:u w:val="single"/>
        </w:rPr>
        <w:t xml:space="preserve">             </w:t>
      </w:r>
      <w:r>
        <w:rPr>
          <w:rFonts w:hint="eastAsia" w:ascii="Times New Roman" w:hAnsi="Times New Roman"/>
          <w:kern w:val="0"/>
          <w:szCs w:val="21"/>
        </w:rPr>
        <w:t>(职务)</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姓名：</w:t>
      </w:r>
      <w:r>
        <w:rPr>
          <w:rFonts w:hint="eastAsia" w:ascii="Times New Roman" w:hAnsi="Times New Roman"/>
          <w:kern w:val="0"/>
          <w:szCs w:val="21"/>
          <w:u w:val="single"/>
        </w:rPr>
        <w:t xml:space="preserve">             </w:t>
      </w:r>
      <w:r>
        <w:rPr>
          <w:rFonts w:hint="eastAsia" w:ascii="Times New Roman" w:hAnsi="Times New Roman"/>
          <w:kern w:val="0"/>
          <w:szCs w:val="21"/>
        </w:rPr>
        <w:t xml:space="preserve">                         姓名：</w:t>
      </w:r>
      <w:r>
        <w:rPr>
          <w:rFonts w:hint="eastAsia" w:ascii="Times New Roman" w:hAnsi="Times New Roman"/>
          <w:kern w:val="0"/>
          <w:szCs w:val="21"/>
          <w:u w:val="single"/>
        </w:rPr>
        <w:t xml:space="preserve">             </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签字：</w:t>
      </w:r>
      <w:r>
        <w:rPr>
          <w:rFonts w:hint="eastAsia" w:ascii="Times New Roman" w:hAnsi="Times New Roman"/>
          <w:kern w:val="0"/>
          <w:szCs w:val="21"/>
          <w:u w:val="single"/>
        </w:rPr>
        <w:t xml:space="preserve">             </w:t>
      </w:r>
      <w:r>
        <w:rPr>
          <w:rFonts w:hint="eastAsia" w:ascii="Times New Roman" w:hAnsi="Times New Roman"/>
          <w:kern w:val="0"/>
          <w:szCs w:val="21"/>
        </w:rPr>
        <w:t xml:space="preserve">                         签字：</w:t>
      </w:r>
      <w:r>
        <w:rPr>
          <w:rFonts w:hint="eastAsia" w:ascii="Times New Roman" w:hAnsi="Times New Roman"/>
          <w:kern w:val="0"/>
          <w:szCs w:val="21"/>
          <w:u w:val="single"/>
        </w:rPr>
        <w:t xml:space="preserve">             </w:t>
      </w:r>
    </w:p>
    <w:p>
      <w:pPr>
        <w:widowControl/>
        <w:spacing w:line="360" w:lineRule="auto"/>
        <w:ind w:firstLine="480" w:firstLineChars="200"/>
        <w:jc w:val="left"/>
        <w:rPr>
          <w:rFonts w:ascii="Times New Roman" w:hAnsi="Times New Roman"/>
          <w:kern w:val="0"/>
          <w:szCs w:val="21"/>
        </w:rPr>
      </w:pP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廉政监督联系人                              廉政监督联系人</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姓名：</w:t>
      </w:r>
      <w:r>
        <w:rPr>
          <w:rFonts w:hint="eastAsia" w:ascii="Times New Roman" w:hAnsi="Times New Roman"/>
          <w:kern w:val="0"/>
          <w:szCs w:val="21"/>
          <w:u w:val="single"/>
        </w:rPr>
        <w:t xml:space="preserve">                       </w:t>
      </w:r>
      <w:r>
        <w:rPr>
          <w:rFonts w:hint="eastAsia" w:ascii="Times New Roman" w:hAnsi="Times New Roman"/>
          <w:kern w:val="0"/>
          <w:szCs w:val="21"/>
        </w:rPr>
        <w:t xml:space="preserve">               姓名：</w:t>
      </w:r>
      <w:r>
        <w:rPr>
          <w:rFonts w:hint="eastAsia" w:ascii="Times New Roman" w:hAnsi="Times New Roman"/>
          <w:kern w:val="0"/>
          <w:szCs w:val="21"/>
          <w:u w:val="single"/>
        </w:rPr>
        <w:t xml:space="preserve">                       </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签字：</w:t>
      </w:r>
      <w:r>
        <w:rPr>
          <w:rFonts w:hint="eastAsia" w:ascii="Times New Roman" w:hAnsi="Times New Roman"/>
          <w:kern w:val="0"/>
          <w:szCs w:val="21"/>
          <w:u w:val="single"/>
        </w:rPr>
        <w:t xml:space="preserve">                       </w:t>
      </w:r>
      <w:r>
        <w:rPr>
          <w:rFonts w:hint="eastAsia" w:ascii="Times New Roman" w:hAnsi="Times New Roman"/>
          <w:kern w:val="0"/>
          <w:szCs w:val="21"/>
        </w:rPr>
        <w:t xml:space="preserve">               签字：</w:t>
      </w:r>
      <w:r>
        <w:rPr>
          <w:rFonts w:hint="eastAsia" w:ascii="Times New Roman" w:hAnsi="Times New Roman"/>
          <w:kern w:val="0"/>
          <w:szCs w:val="21"/>
          <w:u w:val="single"/>
        </w:rPr>
        <w:t xml:space="preserve">                       </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电话：</w:t>
      </w:r>
      <w:r>
        <w:rPr>
          <w:rFonts w:hint="eastAsia" w:ascii="Times New Roman" w:hAnsi="Times New Roman"/>
          <w:kern w:val="0"/>
          <w:szCs w:val="21"/>
          <w:u w:val="single"/>
        </w:rPr>
        <w:t xml:space="preserve">                       </w:t>
      </w:r>
      <w:r>
        <w:rPr>
          <w:rFonts w:hint="eastAsia" w:ascii="Times New Roman" w:hAnsi="Times New Roman"/>
          <w:kern w:val="0"/>
          <w:szCs w:val="21"/>
        </w:rPr>
        <w:t xml:space="preserve">               电话：</w:t>
      </w:r>
      <w:r>
        <w:rPr>
          <w:rFonts w:hint="eastAsia" w:ascii="Times New Roman" w:hAnsi="Times New Roman"/>
          <w:kern w:val="0"/>
          <w:szCs w:val="21"/>
          <w:u w:val="single"/>
        </w:rPr>
        <w:t xml:space="preserve">                       </w:t>
      </w:r>
    </w:p>
    <w:p>
      <w:pPr>
        <w:widowControl/>
        <w:spacing w:line="360" w:lineRule="auto"/>
        <w:ind w:firstLine="480" w:firstLineChars="200"/>
        <w:jc w:val="left"/>
        <w:rPr>
          <w:rFonts w:ascii="Times New Roman" w:hAnsi="Times New Roman"/>
          <w:kern w:val="0"/>
          <w:szCs w:val="21"/>
        </w:rPr>
      </w:pPr>
      <w:r>
        <w:rPr>
          <w:rFonts w:hint="eastAsia" w:ascii="Times New Roman" w:hAnsi="Times New Roman"/>
          <w:kern w:val="0"/>
          <w:szCs w:val="21"/>
        </w:rPr>
        <w:t>地址：</w:t>
      </w:r>
      <w:r>
        <w:rPr>
          <w:rFonts w:hint="eastAsia" w:ascii="Times New Roman" w:hAnsi="Times New Roman"/>
          <w:kern w:val="0"/>
          <w:szCs w:val="21"/>
          <w:u w:val="single"/>
        </w:rPr>
        <w:t xml:space="preserve">                       </w:t>
      </w:r>
      <w:r>
        <w:rPr>
          <w:rFonts w:hint="eastAsia" w:ascii="Times New Roman" w:hAnsi="Times New Roman"/>
          <w:kern w:val="0"/>
          <w:szCs w:val="21"/>
        </w:rPr>
        <w:t xml:space="preserve">               地址：</w:t>
      </w:r>
      <w:r>
        <w:rPr>
          <w:rFonts w:hint="eastAsia" w:ascii="Times New Roman" w:hAnsi="Times New Roman"/>
          <w:kern w:val="0"/>
          <w:szCs w:val="21"/>
          <w:u w:val="single"/>
        </w:rPr>
        <w:t xml:space="preserve">                       </w:t>
      </w:r>
    </w:p>
    <w:p>
      <w:pPr>
        <w:shd w:val="clear" w:color="auto" w:fill="FFFFFF"/>
        <w:jc w:val="center"/>
        <w:rPr>
          <w:rFonts w:hAnsi="宋体"/>
          <w:sz w:val="24"/>
        </w:rPr>
      </w:pPr>
      <w:r>
        <w:rPr>
          <w:rFonts w:hint="eastAsia" w:ascii="Times New Roman" w:hAnsi="Times New Roman"/>
          <w:kern w:val="0"/>
          <w:szCs w:val="21"/>
        </w:rPr>
        <w:t>日期：</w:t>
      </w:r>
      <w:r>
        <w:rPr>
          <w:rFonts w:hint="eastAsia" w:ascii="Times New Roman" w:hAnsi="Times New Roman"/>
          <w:kern w:val="0"/>
          <w:szCs w:val="21"/>
          <w:u w:val="single"/>
        </w:rPr>
        <w:t xml:space="preserve">                       </w:t>
      </w:r>
      <w:r>
        <w:rPr>
          <w:rFonts w:hint="eastAsia" w:ascii="Times New Roman" w:hAnsi="Times New Roman"/>
          <w:kern w:val="0"/>
          <w:szCs w:val="21"/>
        </w:rPr>
        <w:t xml:space="preserve">               日期：</w:t>
      </w:r>
      <w:r>
        <w:rPr>
          <w:rFonts w:hint="eastAsia" w:ascii="Times New Roman" w:hAnsi="Times New Roman"/>
          <w:kern w:val="0"/>
          <w:szCs w:val="21"/>
          <w:u w:val="single"/>
        </w:rPr>
        <w:t xml:space="preserve">                       </w:t>
      </w:r>
    </w:p>
    <w:p>
      <w:pPr>
        <w:topLinePunct/>
        <w:spacing w:line="440" w:lineRule="exact"/>
        <w:jc w:val="center"/>
        <w:rPr>
          <w:rFonts w:ascii="宋体" w:hAnsi="宋体"/>
        </w:rPr>
      </w:pPr>
    </w:p>
    <w:p>
      <w:pPr>
        <w:pStyle w:val="3"/>
        <w:jc w:val="center"/>
        <w:rPr>
          <w:rFonts w:hint="eastAsia" w:ascii="仿宋_GB2312" w:hAnsi="宋体" w:eastAsia="仿宋_GB2312" w:cs="宋体"/>
          <w:b w:val="0"/>
          <w:bCs w:val="0"/>
          <w:color w:val="auto"/>
          <w:spacing w:val="-2"/>
          <w:kern w:val="0"/>
          <w:sz w:val="36"/>
          <w:szCs w:val="36"/>
          <w:lang w:val="en-US" w:eastAsia="zh-CN" w:bidi="ar-SA"/>
        </w:rPr>
      </w:pPr>
      <w:r>
        <w:rPr>
          <w:rFonts w:ascii="宋体" w:hAnsi="宋体"/>
        </w:rPr>
        <w:br w:type="page"/>
      </w:r>
      <w:bookmarkStart w:id="298" w:name="_Toc72221891"/>
      <w:r>
        <w:rPr>
          <w:rFonts w:hint="eastAsia" w:ascii="仿宋_GB2312" w:hAnsi="宋体" w:eastAsia="仿宋_GB2312" w:cs="宋体"/>
          <w:b w:val="0"/>
          <w:bCs w:val="0"/>
          <w:color w:val="auto"/>
          <w:spacing w:val="-2"/>
          <w:kern w:val="0"/>
          <w:sz w:val="36"/>
          <w:szCs w:val="36"/>
          <w:lang w:val="en-US" w:eastAsia="zh-CN" w:bidi="ar-SA"/>
        </w:rPr>
        <w:t xml:space="preserve">第五章 </w:t>
      </w:r>
      <w:bookmarkEnd w:id="298"/>
      <w:r>
        <w:rPr>
          <w:rFonts w:hint="eastAsia" w:ascii="仿宋_GB2312" w:hAnsi="宋体" w:eastAsia="仿宋_GB2312" w:cs="宋体"/>
          <w:b w:val="0"/>
          <w:bCs w:val="0"/>
          <w:color w:val="auto"/>
          <w:spacing w:val="-2"/>
          <w:kern w:val="0"/>
          <w:sz w:val="36"/>
          <w:szCs w:val="36"/>
          <w:lang w:val="en-US" w:eastAsia="zh-CN" w:bidi="ar-SA"/>
        </w:rPr>
        <w:t>律师服务需求</w:t>
      </w:r>
    </w:p>
    <w:p>
      <w:pPr>
        <w:widowControl/>
        <w:adjustRightInd w:val="0"/>
        <w:spacing w:line="520" w:lineRule="exact"/>
        <w:ind w:firstLine="543" w:firstLineChars="196"/>
        <w:jc w:val="left"/>
        <w:rPr>
          <w:rFonts w:hint="eastAsia" w:ascii="仿宋_GB2312" w:hAnsi="宋体" w:eastAsia="仿宋_GB2312" w:cs="宋体"/>
          <w:b/>
          <w:bCs/>
          <w:color w:val="auto"/>
          <w:spacing w:val="-2"/>
          <w:kern w:val="0"/>
          <w:sz w:val="28"/>
          <w:szCs w:val="28"/>
        </w:rPr>
      </w:pPr>
      <w:r>
        <w:rPr>
          <w:rFonts w:hint="eastAsia" w:ascii="仿宋_GB2312" w:hAnsi="宋体" w:eastAsia="仿宋_GB2312" w:cs="宋体"/>
          <w:b/>
          <w:bCs/>
          <w:color w:val="auto"/>
          <w:spacing w:val="-2"/>
          <w:kern w:val="0"/>
          <w:sz w:val="28"/>
          <w:szCs w:val="28"/>
          <w:lang w:eastAsia="zh-CN"/>
        </w:rPr>
        <w:t>第</w:t>
      </w:r>
      <w:r>
        <w:rPr>
          <w:rFonts w:hint="eastAsia" w:ascii="仿宋_GB2312" w:hAnsi="宋体" w:eastAsia="仿宋_GB2312" w:cs="宋体"/>
          <w:b/>
          <w:bCs/>
          <w:color w:val="auto"/>
          <w:spacing w:val="-2"/>
          <w:kern w:val="0"/>
          <w:sz w:val="28"/>
          <w:szCs w:val="28"/>
          <w:lang w:val="en-US" w:eastAsia="zh-CN"/>
        </w:rPr>
        <w:t xml:space="preserve">1条 </w:t>
      </w:r>
      <w:r>
        <w:rPr>
          <w:rFonts w:hint="eastAsia" w:ascii="仿宋_GB2312" w:hAnsi="宋体" w:eastAsia="仿宋_GB2312" w:cs="宋体"/>
          <w:b/>
          <w:bCs/>
          <w:color w:val="auto"/>
          <w:spacing w:val="-2"/>
          <w:kern w:val="0"/>
          <w:sz w:val="28"/>
          <w:szCs w:val="28"/>
        </w:rPr>
        <w:t>项目基本概况</w:t>
      </w:r>
    </w:p>
    <w:p>
      <w:pPr>
        <w:widowControl/>
        <w:adjustRightInd w:val="0"/>
        <w:spacing w:line="520" w:lineRule="exact"/>
        <w:ind w:firstLine="540" w:firstLineChars="196"/>
        <w:jc w:val="left"/>
        <w:rPr>
          <w:rFonts w:ascii="仿宋_GB2312" w:hAnsi="宋体" w:eastAsia="仿宋_GB2312" w:cs="宋体"/>
          <w:color w:val="auto"/>
          <w:spacing w:val="-2"/>
          <w:kern w:val="0"/>
          <w:sz w:val="28"/>
          <w:szCs w:val="28"/>
          <w:highlight w:val="none"/>
        </w:rPr>
      </w:pPr>
      <w:bookmarkStart w:id="299" w:name="_Hlk80807783"/>
      <w:r>
        <w:rPr>
          <w:rFonts w:hint="eastAsia" w:ascii="仿宋_GB2312" w:hAnsi="宋体" w:eastAsia="仿宋_GB2312" w:cs="宋体"/>
          <w:color w:val="auto"/>
          <w:spacing w:val="-2"/>
          <w:kern w:val="0"/>
          <w:sz w:val="28"/>
          <w:szCs w:val="28"/>
          <w:highlight w:val="none"/>
        </w:rPr>
        <w:t>1</w:t>
      </w:r>
      <w:r>
        <w:rPr>
          <w:rFonts w:ascii="仿宋_GB2312" w:hAnsi="宋体" w:eastAsia="仿宋_GB2312" w:cs="宋体"/>
          <w:color w:val="auto"/>
          <w:spacing w:val="-2"/>
          <w:kern w:val="0"/>
          <w:sz w:val="28"/>
          <w:szCs w:val="28"/>
          <w:highlight w:val="none"/>
        </w:rPr>
        <w:t xml:space="preserve">.2 </w:t>
      </w:r>
      <w:r>
        <w:rPr>
          <w:rFonts w:hint="eastAsia" w:ascii="仿宋_GB2312" w:hAnsi="宋体" w:eastAsia="仿宋_GB2312" w:cs="宋体"/>
          <w:color w:val="auto"/>
          <w:spacing w:val="-2"/>
          <w:kern w:val="0"/>
          <w:sz w:val="28"/>
          <w:szCs w:val="28"/>
          <w:highlight w:val="none"/>
        </w:rPr>
        <w:t xml:space="preserve"> 服务对象</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highlight w:val="none"/>
          <w:lang w:eastAsia="zh-CN"/>
        </w:rPr>
      </w:pPr>
      <w:r>
        <w:rPr>
          <w:rFonts w:hint="eastAsia" w:ascii="仿宋_GB2312" w:hAnsi="宋体" w:eastAsia="仿宋_GB2312" w:cs="宋体"/>
          <w:color w:val="auto"/>
          <w:spacing w:val="-2"/>
          <w:kern w:val="0"/>
          <w:sz w:val="28"/>
          <w:szCs w:val="28"/>
          <w:highlight w:val="none"/>
        </w:rPr>
        <w:t>本次常年法律服务对象为甲方长丰供水集团有限公司及其</w:t>
      </w:r>
      <w:r>
        <w:rPr>
          <w:rFonts w:hint="eastAsia" w:ascii="仿宋_GB2312" w:hAnsi="宋体" w:eastAsia="仿宋_GB2312" w:cs="宋体"/>
          <w:color w:val="auto"/>
          <w:spacing w:val="-2"/>
          <w:kern w:val="0"/>
          <w:sz w:val="28"/>
          <w:szCs w:val="28"/>
          <w:highlight w:val="none"/>
          <w:lang w:eastAsia="zh-CN"/>
        </w:rPr>
        <w:t>五</w:t>
      </w:r>
      <w:r>
        <w:rPr>
          <w:rFonts w:hint="eastAsia" w:ascii="仿宋_GB2312" w:hAnsi="宋体" w:eastAsia="仿宋_GB2312" w:cs="宋体"/>
          <w:color w:val="auto"/>
          <w:spacing w:val="-2"/>
          <w:kern w:val="0"/>
          <w:sz w:val="28"/>
          <w:szCs w:val="28"/>
          <w:highlight w:val="none"/>
        </w:rPr>
        <w:t>家关联公司，</w:t>
      </w:r>
      <w:r>
        <w:rPr>
          <w:rFonts w:hint="eastAsia" w:ascii="仿宋_GB2312" w:hAnsi="宋体" w:eastAsia="仿宋_GB2312" w:cs="宋体"/>
          <w:color w:val="auto"/>
          <w:spacing w:val="-2"/>
          <w:kern w:val="0"/>
          <w:sz w:val="28"/>
          <w:szCs w:val="28"/>
          <w:highlight w:val="none"/>
          <w:lang w:eastAsia="zh-CN"/>
        </w:rPr>
        <w:t>五</w:t>
      </w:r>
      <w:r>
        <w:rPr>
          <w:rFonts w:hint="eastAsia" w:ascii="仿宋_GB2312" w:hAnsi="宋体" w:eastAsia="仿宋_GB2312" w:cs="宋体"/>
          <w:color w:val="auto"/>
          <w:spacing w:val="-2"/>
          <w:kern w:val="0"/>
          <w:sz w:val="28"/>
          <w:szCs w:val="28"/>
          <w:highlight w:val="none"/>
        </w:rPr>
        <w:t>家关联公司分别为合肥市天源给排水设计有限公司、合肥市润泽</w:t>
      </w:r>
      <w:r>
        <w:rPr>
          <w:rFonts w:hint="eastAsia" w:ascii="仿宋_GB2312" w:hAnsi="宋体" w:eastAsia="仿宋_GB2312" w:cs="宋体"/>
          <w:color w:val="auto"/>
          <w:spacing w:val="-2"/>
          <w:kern w:val="0"/>
          <w:sz w:val="28"/>
          <w:szCs w:val="28"/>
          <w:highlight w:val="none"/>
          <w:lang w:eastAsia="zh-CN"/>
        </w:rPr>
        <w:t>服务</w:t>
      </w:r>
      <w:r>
        <w:rPr>
          <w:rFonts w:hint="eastAsia" w:ascii="仿宋_GB2312" w:hAnsi="宋体" w:eastAsia="仿宋_GB2312" w:cs="宋体"/>
          <w:color w:val="auto"/>
          <w:spacing w:val="-2"/>
          <w:kern w:val="0"/>
          <w:sz w:val="28"/>
          <w:szCs w:val="28"/>
          <w:highlight w:val="none"/>
        </w:rPr>
        <w:t>项目管理有限公司、合肥市民生市政工程有限公司、长丰惠民供水劳务有限公司、</w:t>
      </w:r>
      <w:r>
        <w:rPr>
          <w:rFonts w:hint="eastAsia" w:ascii="仿宋_GB2312" w:hAnsi="宋体" w:eastAsia="仿宋_GB2312" w:cs="宋体"/>
          <w:color w:val="auto"/>
          <w:spacing w:val="-2"/>
          <w:kern w:val="0"/>
          <w:sz w:val="28"/>
          <w:szCs w:val="28"/>
          <w:highlight w:val="none"/>
          <w:lang w:eastAsia="zh-CN"/>
        </w:rPr>
        <w:t>合肥市康源水质检测有限公司。</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1.</w:t>
      </w:r>
      <w:r>
        <w:rPr>
          <w:rFonts w:ascii="仿宋_GB2312" w:hAnsi="宋体" w:eastAsia="仿宋_GB2312" w:cs="宋体"/>
          <w:color w:val="auto"/>
          <w:spacing w:val="-2"/>
          <w:kern w:val="0"/>
          <w:sz w:val="28"/>
          <w:szCs w:val="28"/>
        </w:rPr>
        <w:t>3</w:t>
      </w:r>
      <w:r>
        <w:rPr>
          <w:rFonts w:hint="eastAsia" w:ascii="仿宋_GB2312" w:hAnsi="宋体" w:eastAsia="仿宋_GB2312" w:cs="宋体"/>
          <w:color w:val="auto"/>
          <w:spacing w:val="-2"/>
          <w:kern w:val="0"/>
          <w:sz w:val="28"/>
          <w:szCs w:val="28"/>
        </w:rPr>
        <w:t xml:space="preserve">  联系人</w:t>
      </w:r>
    </w:p>
    <w:p>
      <w:pPr>
        <w:pStyle w:val="2"/>
        <w:rPr>
          <w:rFonts w:hint="eastAsia" w:eastAsia="仿宋_GB2312"/>
          <w:u w:val="single"/>
          <w:lang w:eastAsia="zh-CN"/>
        </w:rPr>
      </w:pPr>
      <w:r>
        <w:rPr>
          <w:rFonts w:hint="eastAsia" w:hAnsi="宋体" w:cs="宋体"/>
          <w:color w:val="auto"/>
          <w:spacing w:val="-2"/>
          <w:kern w:val="0"/>
          <w:sz w:val="28"/>
          <w:szCs w:val="28"/>
          <w:lang w:eastAsia="zh-CN"/>
        </w:rPr>
        <w:t>乙方接受甲方的委托，特指派</w:t>
      </w:r>
      <w:r>
        <w:rPr>
          <w:rFonts w:hint="eastAsia" w:hAnsi="宋体" w:cs="宋体"/>
          <w:color w:val="auto"/>
          <w:spacing w:val="-2"/>
          <w:kern w:val="0"/>
          <w:sz w:val="28"/>
          <w:szCs w:val="28"/>
          <w:u w:val="single"/>
          <w:lang w:val="en-US" w:eastAsia="zh-CN"/>
        </w:rPr>
        <w:t xml:space="preserve">      </w:t>
      </w:r>
      <w:r>
        <w:rPr>
          <w:rFonts w:hint="eastAsia" w:hAnsi="宋体" w:cs="宋体"/>
          <w:color w:val="auto"/>
          <w:spacing w:val="-2"/>
          <w:kern w:val="0"/>
          <w:sz w:val="28"/>
          <w:szCs w:val="28"/>
          <w:u w:val="none"/>
          <w:lang w:val="en-US" w:eastAsia="zh-CN"/>
        </w:rPr>
        <w:t>律师（至少三名，包含一名律所合伙人或负责人）为甲方的常年法律顾问律师，为甲方提供法律顾问服务，乙方更换联系人应提前5个工作日书面通知甲方。</w:t>
      </w:r>
      <w:r>
        <w:rPr>
          <w:rFonts w:hint="eastAsia" w:hAnsi="宋体" w:cs="宋体"/>
          <w:color w:val="auto"/>
          <w:spacing w:val="-2"/>
          <w:kern w:val="0"/>
          <w:sz w:val="28"/>
          <w:szCs w:val="28"/>
          <w:u w:val="single"/>
          <w:lang w:val="en-US" w:eastAsia="zh-CN"/>
        </w:rPr>
        <w:t xml:space="preserve">                    </w:t>
      </w:r>
      <w:r>
        <w:rPr>
          <w:rFonts w:hint="eastAsia" w:ascii="仿宋_GB2312" w:hAnsi="宋体" w:eastAsia="仿宋_GB2312" w:cs="宋体"/>
          <w:color w:val="auto"/>
          <w:spacing w:val="-2"/>
          <w:kern w:val="0"/>
          <w:sz w:val="28"/>
          <w:szCs w:val="28"/>
          <w:u w:val="single"/>
        </w:rPr>
        <w:t xml:space="preserve"> </w:t>
      </w:r>
      <w:r>
        <w:rPr>
          <w:rFonts w:hint="eastAsia" w:ascii="仿宋_GB2312" w:hAnsi="宋体" w:eastAsia="仿宋_GB2312" w:cs="宋体"/>
          <w:color w:val="auto"/>
          <w:spacing w:val="-2"/>
          <w:kern w:val="0"/>
          <w:sz w:val="28"/>
          <w:szCs w:val="28"/>
          <w:u w:val="single"/>
          <w:lang w:val="en-US" w:eastAsia="zh-CN"/>
        </w:rPr>
        <w:t xml:space="preserve">             </w:t>
      </w:r>
    </w:p>
    <w:p>
      <w:pPr>
        <w:widowControl/>
        <w:adjustRightInd w:val="0"/>
        <w:spacing w:line="520" w:lineRule="exact"/>
        <w:ind w:firstLine="540" w:firstLineChars="196"/>
        <w:jc w:val="left"/>
        <w:rPr>
          <w:rFonts w:hint="eastAsia" w:ascii="仿宋_GB2312" w:hAnsi="宋体" w:eastAsia="仿宋_GB2312" w:cs="宋体"/>
          <w:b/>
          <w:bCs/>
          <w:color w:val="auto"/>
          <w:spacing w:val="-2"/>
          <w:kern w:val="0"/>
          <w:sz w:val="28"/>
          <w:szCs w:val="28"/>
        </w:rPr>
      </w:pPr>
      <w:r>
        <w:rPr>
          <w:rFonts w:hint="eastAsia" w:ascii="仿宋_GB2312" w:hAnsi="宋体" w:eastAsia="仿宋_GB2312" w:cs="宋体"/>
          <w:color w:val="auto"/>
          <w:spacing w:val="-2"/>
          <w:kern w:val="0"/>
          <w:sz w:val="28"/>
          <w:szCs w:val="28"/>
        </w:rPr>
        <w:t>为便于工作开展，甲方指定</w:t>
      </w:r>
      <w:r>
        <w:rPr>
          <w:rFonts w:hint="eastAsia" w:ascii="仿宋_GB2312" w:hAnsi="宋体" w:eastAsia="仿宋_GB2312" w:cs="宋体"/>
          <w:color w:val="auto"/>
          <w:spacing w:val="-2"/>
          <w:kern w:val="0"/>
          <w:sz w:val="28"/>
          <w:szCs w:val="28"/>
          <w:u w:val="single"/>
        </w:rPr>
        <w:t xml:space="preserve"> </w:t>
      </w:r>
      <w:r>
        <w:rPr>
          <w:rFonts w:hint="eastAsia" w:ascii="仿宋_GB2312" w:hAnsi="宋体" w:eastAsia="仿宋_GB2312" w:cs="宋体"/>
          <w:color w:val="auto"/>
          <w:spacing w:val="-2"/>
          <w:kern w:val="0"/>
          <w:sz w:val="28"/>
          <w:szCs w:val="28"/>
          <w:u w:val="single"/>
          <w:lang w:val="en-US" w:eastAsia="zh-CN"/>
        </w:rPr>
        <w:t xml:space="preserve">             </w:t>
      </w:r>
      <w:r>
        <w:rPr>
          <w:rFonts w:hint="eastAsia" w:ascii="仿宋_GB2312" w:hAnsi="宋体" w:eastAsia="仿宋_GB2312" w:cs="宋体"/>
          <w:color w:val="auto"/>
          <w:spacing w:val="-2"/>
          <w:kern w:val="0"/>
          <w:sz w:val="28"/>
          <w:szCs w:val="28"/>
        </w:rPr>
        <w:t xml:space="preserve"> 为乙方顾问律师的联系人，负责转达甲方的指示和要求，提供文件和资料等，甲方更换联系人应在五个工作日内予以通知。</w:t>
      </w:r>
    </w:p>
    <w:p>
      <w:pPr>
        <w:widowControl/>
        <w:adjustRightInd w:val="0"/>
        <w:spacing w:line="520" w:lineRule="exact"/>
        <w:ind w:firstLine="543" w:firstLineChars="196"/>
        <w:jc w:val="left"/>
        <w:rPr>
          <w:rFonts w:hint="eastAsia" w:ascii="仿宋_GB2312" w:hAnsi="宋体" w:eastAsia="仿宋_GB2312" w:cs="宋体"/>
          <w:b/>
          <w:bCs/>
          <w:color w:val="auto"/>
          <w:spacing w:val="-2"/>
          <w:kern w:val="0"/>
          <w:sz w:val="28"/>
          <w:szCs w:val="28"/>
        </w:rPr>
      </w:pPr>
      <w:r>
        <w:rPr>
          <w:rFonts w:hint="eastAsia" w:ascii="仿宋_GB2312" w:hAnsi="宋体" w:eastAsia="仿宋_GB2312" w:cs="宋体"/>
          <w:b/>
          <w:bCs/>
          <w:color w:val="auto"/>
          <w:spacing w:val="-2"/>
          <w:kern w:val="0"/>
          <w:sz w:val="28"/>
          <w:szCs w:val="28"/>
        </w:rPr>
        <w:t>第2条  顾问律师工作范围</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顾问律师协助甲方处理日常法律事务，其工作范围主要包括：</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2.1  为甲方解答日常经营、管理中的法律问题，并提供法律建议；</w:t>
      </w:r>
      <w:r>
        <w:rPr>
          <w:rFonts w:hint="eastAsia" w:ascii="仿宋_GB2312" w:hAnsi="宋体" w:eastAsia="仿宋_GB2312" w:cs="宋体"/>
          <w:color w:val="auto"/>
          <w:spacing w:val="-2"/>
          <w:kern w:val="0"/>
          <w:sz w:val="28"/>
          <w:szCs w:val="28"/>
          <w:lang w:eastAsia="zh-CN"/>
        </w:rPr>
        <w:t>提示甲方经营中可能存在的法律风险，协助甲方建立风险防范体制；</w:t>
      </w:r>
      <w:r>
        <w:rPr>
          <w:rFonts w:hint="eastAsia" w:ascii="仿宋_GB2312" w:hAnsi="宋体" w:eastAsia="仿宋_GB2312" w:cs="宋体"/>
          <w:color w:val="auto"/>
          <w:spacing w:val="-2"/>
          <w:kern w:val="0"/>
          <w:sz w:val="28"/>
          <w:szCs w:val="28"/>
        </w:rPr>
        <w:t>应甲方要求，在必要时出具书面法律意见</w:t>
      </w:r>
      <w:r>
        <w:rPr>
          <w:rFonts w:hint="eastAsia" w:ascii="仿宋_GB2312" w:hAnsi="宋体" w:eastAsia="仿宋_GB2312" w:cs="宋体"/>
          <w:color w:val="auto"/>
          <w:spacing w:val="-2"/>
          <w:kern w:val="0"/>
          <w:sz w:val="28"/>
          <w:szCs w:val="28"/>
          <w:lang w:eastAsia="zh-CN"/>
        </w:rPr>
        <w:t>并加盖公章</w:t>
      </w:r>
      <w:r>
        <w:rPr>
          <w:rFonts w:hint="eastAsia" w:ascii="仿宋_GB2312" w:hAnsi="宋体" w:eastAsia="仿宋_GB2312" w:cs="宋体"/>
          <w:color w:val="auto"/>
          <w:spacing w:val="-2"/>
          <w:kern w:val="0"/>
          <w:sz w:val="28"/>
          <w:szCs w:val="28"/>
        </w:rPr>
        <w:t>；</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2.2  草拟、修改、审查合同、章程及与法律事务相关的文书</w:t>
      </w:r>
      <w:r>
        <w:rPr>
          <w:rFonts w:hint="eastAsia" w:ascii="仿宋_GB2312" w:hAnsi="宋体" w:eastAsia="仿宋_GB2312" w:cs="宋体"/>
          <w:color w:val="auto"/>
          <w:spacing w:val="-2"/>
          <w:kern w:val="0"/>
          <w:sz w:val="28"/>
          <w:szCs w:val="28"/>
          <w:lang w:eastAsia="zh-CN"/>
        </w:rPr>
        <w:t>，尤其是新类型合同的制作</w:t>
      </w:r>
      <w:r>
        <w:rPr>
          <w:rFonts w:hint="eastAsia" w:ascii="仿宋_GB2312" w:hAnsi="宋体" w:eastAsia="仿宋_GB2312" w:cs="宋体"/>
          <w:color w:val="auto"/>
          <w:spacing w:val="-2"/>
          <w:kern w:val="0"/>
          <w:sz w:val="28"/>
          <w:szCs w:val="28"/>
        </w:rPr>
        <w:t>；</w:t>
      </w:r>
    </w:p>
    <w:p>
      <w:pPr>
        <w:pStyle w:val="2"/>
        <w:rPr>
          <w:rFonts w:hint="eastAsia" w:hAnsi="宋体" w:cs="宋体"/>
          <w:color w:val="auto"/>
          <w:spacing w:val="-2"/>
          <w:kern w:val="0"/>
          <w:sz w:val="28"/>
          <w:szCs w:val="28"/>
          <w:lang w:val="en-US" w:eastAsia="zh-CN"/>
        </w:rPr>
      </w:pPr>
      <w:r>
        <w:rPr>
          <w:rFonts w:hint="eastAsia" w:hAnsi="宋体" w:cs="宋体"/>
          <w:color w:val="auto"/>
          <w:spacing w:val="-2"/>
          <w:kern w:val="0"/>
          <w:sz w:val="28"/>
          <w:szCs w:val="28"/>
          <w:lang w:val="en-US" w:eastAsia="zh-CN"/>
        </w:rPr>
        <w:t>2.3提供薪酬福利、催款（水费、工程款等）的法律咨询服务并出具相关指导意见；</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2.</w:t>
      </w:r>
      <w:r>
        <w:rPr>
          <w:rFonts w:hint="eastAsia" w:ascii="仿宋_GB2312" w:hAnsi="宋体" w:eastAsia="仿宋_GB2312" w:cs="宋体"/>
          <w:color w:val="auto"/>
          <w:spacing w:val="-2"/>
          <w:kern w:val="0"/>
          <w:sz w:val="28"/>
          <w:szCs w:val="28"/>
          <w:lang w:val="en-US" w:eastAsia="zh-CN"/>
        </w:rPr>
        <w:t>4</w:t>
      </w:r>
      <w:r>
        <w:rPr>
          <w:rFonts w:hint="eastAsia" w:ascii="仿宋_GB2312" w:hAnsi="宋体" w:eastAsia="仿宋_GB2312" w:cs="宋体"/>
          <w:color w:val="auto"/>
          <w:spacing w:val="-2"/>
          <w:kern w:val="0"/>
          <w:sz w:val="28"/>
          <w:szCs w:val="28"/>
        </w:rPr>
        <w:t xml:space="preserve">  应甲方要求，就甲方的重大磋商、谈判事项，进行前期法律分析、论证，提示其法律风险要点；</w:t>
      </w:r>
    </w:p>
    <w:p>
      <w:pPr>
        <w:widowControl/>
        <w:adjustRightInd w:val="0"/>
        <w:spacing w:line="520" w:lineRule="exact"/>
        <w:ind w:firstLine="540" w:firstLineChars="196"/>
        <w:jc w:val="left"/>
        <w:rPr>
          <w:rFonts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应甲方要求，在必要时开展法律尽职调查并出具法律尽职调查报告和相关法律大数据报告</w:t>
      </w:r>
      <w:r>
        <w:rPr>
          <w:rFonts w:hint="eastAsia" w:ascii="仿宋_GB2312" w:hAnsi="宋体" w:eastAsia="仿宋_GB2312" w:cs="宋体"/>
          <w:color w:val="auto"/>
          <w:spacing w:val="-2"/>
          <w:kern w:val="0"/>
          <w:sz w:val="28"/>
          <w:szCs w:val="28"/>
          <w:lang w:eastAsia="zh-CN"/>
        </w:rPr>
        <w:t>，提出解决方案，出具律师函或以律师所名义对外发布重要通知、声明等。</w:t>
      </w:r>
    </w:p>
    <w:p>
      <w:pPr>
        <w:widowControl/>
        <w:adjustRightInd w:val="0"/>
        <w:spacing w:line="520" w:lineRule="exact"/>
        <w:ind w:firstLine="540" w:firstLineChars="196"/>
        <w:jc w:val="left"/>
        <w:rPr>
          <w:rFonts w:ascii="仿宋_GB2312" w:hAnsi="宋体" w:eastAsia="仿宋_GB2312" w:cs="宋体"/>
          <w:color w:val="auto"/>
          <w:spacing w:val="-2"/>
          <w:kern w:val="0"/>
          <w:sz w:val="28"/>
          <w:szCs w:val="28"/>
          <w:highlight w:val="none"/>
        </w:rPr>
      </w:pPr>
      <w:r>
        <w:rPr>
          <w:rFonts w:ascii="仿宋_GB2312" w:hAnsi="宋体" w:eastAsia="仿宋_GB2312" w:cs="宋体"/>
          <w:color w:val="auto"/>
          <w:spacing w:val="-2"/>
          <w:kern w:val="0"/>
          <w:sz w:val="28"/>
          <w:szCs w:val="28"/>
          <w:highlight w:val="none"/>
        </w:rPr>
        <w:t>2.</w:t>
      </w:r>
      <w:r>
        <w:rPr>
          <w:rFonts w:hint="eastAsia" w:ascii="仿宋_GB2312" w:hAnsi="宋体" w:eastAsia="仿宋_GB2312" w:cs="宋体"/>
          <w:color w:val="auto"/>
          <w:spacing w:val="-2"/>
          <w:kern w:val="0"/>
          <w:sz w:val="28"/>
          <w:szCs w:val="28"/>
          <w:highlight w:val="none"/>
          <w:lang w:val="en-US" w:eastAsia="zh-CN"/>
        </w:rPr>
        <w:t>5</w:t>
      </w:r>
      <w:r>
        <w:rPr>
          <w:rFonts w:ascii="仿宋_GB2312" w:hAnsi="宋体" w:eastAsia="仿宋_GB2312" w:cs="宋体"/>
          <w:color w:val="auto"/>
          <w:spacing w:val="-2"/>
          <w:kern w:val="0"/>
          <w:sz w:val="28"/>
          <w:szCs w:val="28"/>
          <w:highlight w:val="none"/>
        </w:rPr>
        <w:t xml:space="preserve"> </w:t>
      </w:r>
      <w:r>
        <w:rPr>
          <w:rFonts w:hint="eastAsia" w:ascii="仿宋_GB2312" w:hAnsi="宋体" w:eastAsia="仿宋_GB2312" w:cs="宋体"/>
          <w:color w:val="auto"/>
          <w:spacing w:val="-2"/>
          <w:kern w:val="0"/>
          <w:sz w:val="28"/>
          <w:szCs w:val="28"/>
          <w:highlight w:val="none"/>
        </w:rPr>
        <w:t>应甲方要求，参与甲方的重大招投标和重大活动签订活动；</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highlight w:val="none"/>
        </w:rPr>
      </w:pPr>
      <w:r>
        <w:rPr>
          <w:rFonts w:hint="eastAsia" w:ascii="仿宋_GB2312" w:hAnsi="宋体" w:eastAsia="仿宋_GB2312" w:cs="宋体"/>
          <w:color w:val="auto"/>
          <w:spacing w:val="-2"/>
          <w:kern w:val="0"/>
          <w:sz w:val="28"/>
          <w:szCs w:val="28"/>
          <w:highlight w:val="none"/>
        </w:rPr>
        <w:t>2</w:t>
      </w:r>
      <w:r>
        <w:rPr>
          <w:rFonts w:ascii="仿宋_GB2312" w:hAnsi="宋体" w:eastAsia="仿宋_GB2312" w:cs="宋体"/>
          <w:color w:val="auto"/>
          <w:spacing w:val="-2"/>
          <w:kern w:val="0"/>
          <w:sz w:val="28"/>
          <w:szCs w:val="28"/>
          <w:highlight w:val="none"/>
        </w:rPr>
        <w:t>.</w:t>
      </w:r>
      <w:r>
        <w:rPr>
          <w:rFonts w:hint="eastAsia" w:ascii="仿宋_GB2312" w:hAnsi="宋体" w:eastAsia="仿宋_GB2312" w:cs="宋体"/>
          <w:color w:val="auto"/>
          <w:spacing w:val="-2"/>
          <w:kern w:val="0"/>
          <w:sz w:val="28"/>
          <w:szCs w:val="28"/>
          <w:highlight w:val="none"/>
          <w:lang w:val="en-US" w:eastAsia="zh-CN"/>
        </w:rPr>
        <w:t>6</w:t>
      </w:r>
      <w:r>
        <w:rPr>
          <w:rFonts w:ascii="仿宋_GB2312" w:hAnsi="宋体" w:eastAsia="仿宋_GB2312" w:cs="宋体"/>
          <w:color w:val="auto"/>
          <w:spacing w:val="-2"/>
          <w:kern w:val="0"/>
          <w:sz w:val="28"/>
          <w:szCs w:val="28"/>
          <w:highlight w:val="none"/>
        </w:rPr>
        <w:t xml:space="preserve"> </w:t>
      </w:r>
      <w:r>
        <w:rPr>
          <w:rFonts w:hint="eastAsia" w:ascii="仿宋_GB2312" w:hAnsi="宋体" w:eastAsia="仿宋_GB2312" w:cs="宋体"/>
          <w:color w:val="auto"/>
          <w:spacing w:val="-2"/>
          <w:kern w:val="0"/>
          <w:sz w:val="28"/>
          <w:szCs w:val="28"/>
          <w:highlight w:val="none"/>
        </w:rPr>
        <w:t>应甲方要求，为甲方提供公司重组改制、股票</w:t>
      </w:r>
      <w:r>
        <w:rPr>
          <w:rFonts w:hint="eastAsia" w:ascii="仿宋_GB2312" w:hAnsi="宋体" w:eastAsia="仿宋_GB2312" w:cs="宋体"/>
          <w:color w:val="auto"/>
          <w:spacing w:val="-2"/>
          <w:kern w:val="0"/>
          <w:sz w:val="28"/>
          <w:szCs w:val="28"/>
          <w:highlight w:val="none"/>
          <w:lang w:eastAsia="zh-CN"/>
        </w:rPr>
        <w:t>、</w:t>
      </w:r>
      <w:r>
        <w:rPr>
          <w:rFonts w:hint="eastAsia" w:ascii="仿宋_GB2312" w:hAnsi="宋体" w:eastAsia="仿宋_GB2312" w:cs="宋体"/>
          <w:color w:val="auto"/>
          <w:spacing w:val="-2"/>
          <w:kern w:val="0"/>
          <w:sz w:val="28"/>
          <w:szCs w:val="28"/>
          <w:highlight w:val="none"/>
          <w:lang w:val="en-US" w:eastAsia="zh-CN"/>
        </w:rPr>
        <w:t>公司债券</w:t>
      </w:r>
      <w:r>
        <w:rPr>
          <w:rFonts w:hint="eastAsia" w:ascii="仿宋_GB2312" w:hAnsi="宋体" w:eastAsia="仿宋_GB2312" w:cs="宋体"/>
          <w:color w:val="auto"/>
          <w:spacing w:val="-2"/>
          <w:kern w:val="0"/>
          <w:sz w:val="28"/>
          <w:szCs w:val="28"/>
          <w:highlight w:val="none"/>
        </w:rPr>
        <w:t>发行及上市法律服务；</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2.</w:t>
      </w:r>
      <w:r>
        <w:rPr>
          <w:rFonts w:hint="eastAsia" w:ascii="仿宋_GB2312" w:hAnsi="宋体" w:eastAsia="仿宋_GB2312" w:cs="宋体"/>
          <w:color w:val="auto"/>
          <w:spacing w:val="-2"/>
          <w:kern w:val="0"/>
          <w:sz w:val="28"/>
          <w:szCs w:val="28"/>
          <w:lang w:val="en-US" w:eastAsia="zh-CN"/>
        </w:rPr>
        <w:t>7</w:t>
      </w:r>
      <w:r>
        <w:rPr>
          <w:rFonts w:hint="eastAsia" w:ascii="仿宋_GB2312" w:hAnsi="宋体" w:eastAsia="仿宋_GB2312" w:cs="宋体"/>
          <w:color w:val="auto"/>
          <w:spacing w:val="-2"/>
          <w:kern w:val="0"/>
          <w:sz w:val="28"/>
          <w:szCs w:val="28"/>
        </w:rPr>
        <w:t xml:space="preserve">  就甲方已发生或将面临的纠纷，</w:t>
      </w:r>
      <w:r>
        <w:rPr>
          <w:rFonts w:hint="eastAsia" w:ascii="仿宋_GB2312" w:hAnsi="宋体" w:eastAsia="仿宋_GB2312" w:cs="宋体"/>
          <w:color w:val="auto"/>
          <w:spacing w:val="-2"/>
          <w:kern w:val="0"/>
          <w:sz w:val="28"/>
          <w:szCs w:val="28"/>
          <w:lang w:eastAsia="zh-CN"/>
        </w:rPr>
        <w:t>如劳动纠纷、经济纠纷等，</w:t>
      </w:r>
      <w:r>
        <w:rPr>
          <w:rFonts w:hint="eastAsia" w:ascii="仿宋_GB2312" w:hAnsi="宋体" w:eastAsia="仿宋_GB2312" w:cs="宋体"/>
          <w:color w:val="auto"/>
          <w:spacing w:val="-2"/>
          <w:kern w:val="0"/>
          <w:sz w:val="28"/>
          <w:szCs w:val="28"/>
        </w:rPr>
        <w:t>提供法律解决方案，应甲方要求，在必要时出具律师函；</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2.</w:t>
      </w:r>
      <w:r>
        <w:rPr>
          <w:rFonts w:hint="eastAsia" w:ascii="仿宋_GB2312" w:hAnsi="宋体" w:eastAsia="仿宋_GB2312" w:cs="宋体"/>
          <w:color w:val="auto"/>
          <w:spacing w:val="-2"/>
          <w:kern w:val="0"/>
          <w:sz w:val="28"/>
          <w:szCs w:val="28"/>
          <w:lang w:val="en-US" w:eastAsia="zh-CN"/>
        </w:rPr>
        <w:t>8</w:t>
      </w:r>
      <w:r>
        <w:rPr>
          <w:rFonts w:hint="eastAsia" w:ascii="仿宋_GB2312" w:hAnsi="宋体" w:eastAsia="仿宋_GB2312" w:cs="宋体"/>
          <w:color w:val="auto"/>
          <w:spacing w:val="-2"/>
          <w:kern w:val="0"/>
          <w:sz w:val="28"/>
          <w:szCs w:val="28"/>
        </w:rPr>
        <w:t xml:space="preserve">  </w:t>
      </w:r>
      <w:r>
        <w:rPr>
          <w:rFonts w:hint="eastAsia" w:ascii="仿宋_GB2312" w:hAnsi="宋体" w:eastAsia="仿宋_GB2312" w:cs="宋体"/>
          <w:color w:val="auto"/>
          <w:spacing w:val="-2"/>
          <w:kern w:val="0"/>
          <w:sz w:val="28"/>
          <w:szCs w:val="28"/>
          <w:lang w:eastAsia="zh-CN"/>
        </w:rPr>
        <w:t>对公司诉讼、仲裁法律事务提供一般性咨询意见，</w:t>
      </w:r>
      <w:r>
        <w:rPr>
          <w:rFonts w:hint="eastAsia" w:ascii="仿宋_GB2312" w:hAnsi="宋体" w:eastAsia="仿宋_GB2312" w:cs="宋体"/>
          <w:color w:val="auto"/>
          <w:spacing w:val="-2"/>
          <w:kern w:val="0"/>
          <w:sz w:val="28"/>
          <w:szCs w:val="28"/>
        </w:rPr>
        <w:t>签订委托代理合同后，担任甲方代理人，参加诉讼、仲裁或非诉讼谈判、调解活动；</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lang w:eastAsia="zh-CN"/>
        </w:rPr>
      </w:pPr>
      <w:r>
        <w:rPr>
          <w:rFonts w:hint="eastAsia" w:ascii="仿宋_GB2312" w:hAnsi="宋体" w:eastAsia="仿宋_GB2312" w:cs="宋体"/>
          <w:color w:val="auto"/>
          <w:spacing w:val="-2"/>
          <w:kern w:val="0"/>
          <w:sz w:val="28"/>
          <w:szCs w:val="28"/>
        </w:rPr>
        <w:t>2.</w:t>
      </w:r>
      <w:r>
        <w:rPr>
          <w:rFonts w:hint="eastAsia" w:ascii="仿宋_GB2312" w:hAnsi="宋体" w:eastAsia="仿宋_GB2312" w:cs="宋体"/>
          <w:color w:val="auto"/>
          <w:spacing w:val="-2"/>
          <w:kern w:val="0"/>
          <w:sz w:val="28"/>
          <w:szCs w:val="28"/>
          <w:lang w:val="en-US" w:eastAsia="zh-CN"/>
        </w:rPr>
        <w:t>9</w:t>
      </w:r>
      <w:r>
        <w:rPr>
          <w:rFonts w:hint="eastAsia" w:ascii="仿宋_GB2312" w:hAnsi="宋体" w:eastAsia="仿宋_GB2312" w:cs="宋体"/>
          <w:color w:val="auto"/>
          <w:spacing w:val="-2"/>
          <w:kern w:val="0"/>
          <w:sz w:val="28"/>
          <w:szCs w:val="28"/>
        </w:rPr>
        <w:t xml:space="preserve"> 应甲方</w:t>
      </w:r>
      <w:r>
        <w:rPr>
          <w:rFonts w:hint="eastAsia" w:ascii="仿宋_GB2312" w:hAnsi="宋体" w:eastAsia="仿宋_GB2312" w:cs="宋体"/>
          <w:color w:val="auto"/>
          <w:spacing w:val="-2"/>
          <w:kern w:val="0"/>
          <w:sz w:val="28"/>
          <w:szCs w:val="28"/>
          <w:lang w:eastAsia="zh-CN"/>
        </w:rPr>
        <w:t>及其工作部门要求，每年不少于一次向甲方及其工作部门工作人员进行与其业务有关的法制宣传教育，或者举办专题讲座、培训。</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p>
    <w:p>
      <w:pPr>
        <w:widowControl/>
        <w:adjustRightInd w:val="0"/>
        <w:spacing w:line="520" w:lineRule="exact"/>
        <w:ind w:firstLine="543" w:firstLineChars="196"/>
        <w:jc w:val="left"/>
        <w:rPr>
          <w:rFonts w:hint="eastAsia" w:ascii="仿宋_GB2312" w:hAnsi="宋体" w:eastAsia="仿宋_GB2312" w:cs="宋体"/>
          <w:b/>
          <w:bCs/>
          <w:color w:val="auto"/>
          <w:spacing w:val="-2"/>
          <w:kern w:val="0"/>
          <w:sz w:val="28"/>
          <w:szCs w:val="28"/>
        </w:rPr>
      </w:pPr>
      <w:r>
        <w:rPr>
          <w:rFonts w:hint="eastAsia" w:ascii="仿宋_GB2312" w:hAnsi="宋体" w:eastAsia="仿宋_GB2312" w:cs="宋体"/>
          <w:b/>
          <w:bCs/>
          <w:color w:val="auto"/>
          <w:spacing w:val="-2"/>
          <w:kern w:val="0"/>
          <w:sz w:val="28"/>
          <w:szCs w:val="28"/>
        </w:rPr>
        <w:t>第3条  顾问律师工作方式</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rPr>
        <w:t>3.1  鉴于处理承办法律事务的特殊性，在兼顾双方利益的原则下，乙方顾问律师可以以座谈处理、书面处理、E-MAIL及其他网络通讯工具处理、电话沟通处理等方式择一进行。</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lang w:eastAsia="zh-CN"/>
        </w:rPr>
      </w:pPr>
      <w:r>
        <w:rPr>
          <w:rFonts w:hint="eastAsia" w:ascii="仿宋_GB2312" w:hAnsi="宋体" w:eastAsia="仿宋_GB2312" w:cs="宋体"/>
          <w:color w:val="auto"/>
          <w:spacing w:val="-2"/>
          <w:kern w:val="0"/>
          <w:sz w:val="28"/>
          <w:szCs w:val="28"/>
        </w:rPr>
        <w:t xml:space="preserve"> </w:t>
      </w:r>
      <w:r>
        <w:rPr>
          <w:rFonts w:hint="eastAsia" w:ascii="仿宋_GB2312" w:hAnsi="宋体" w:eastAsia="仿宋_GB2312" w:cs="宋体"/>
          <w:color w:val="auto"/>
          <w:spacing w:val="-2"/>
          <w:kern w:val="0"/>
          <w:sz w:val="28"/>
          <w:szCs w:val="28"/>
          <w:lang w:val="en-US" w:eastAsia="zh-CN"/>
        </w:rPr>
        <w:t>3.2投标律所提供服务律师团队成员不能少于三人，其中包含一名律所合伙人或负责人。要求每周安排一名执业律师坐班，</w:t>
      </w:r>
      <w:r>
        <w:rPr>
          <w:rFonts w:hint="eastAsia" w:ascii="仿宋_GB2312" w:hAnsi="宋体" w:eastAsia="仿宋_GB2312" w:cs="宋体"/>
          <w:color w:val="auto"/>
          <w:spacing w:val="-2"/>
          <w:kern w:val="0"/>
          <w:sz w:val="28"/>
          <w:szCs w:val="28"/>
          <w:lang w:val="en-US" w:eastAsia="zh-CN" w:bidi="ar-SA"/>
        </w:rPr>
        <w:t>一周一天，坐班地点一般为长丰供水集团有限公司总部（水湖镇），其中，律所合伙人或负责人一月最少坐班一天，</w:t>
      </w:r>
      <w:r>
        <w:rPr>
          <w:rFonts w:hint="eastAsia" w:ascii="仿宋_GB2312" w:hAnsi="宋体" w:eastAsia="仿宋_GB2312" w:cs="宋体"/>
          <w:color w:val="auto"/>
          <w:spacing w:val="-2"/>
          <w:kern w:val="0"/>
          <w:sz w:val="28"/>
          <w:szCs w:val="28"/>
          <w:lang w:val="en-US" w:eastAsia="zh-CN"/>
        </w:rPr>
        <w:t>甲方也可以根据工作需要提前要求律师在长丰县内其他地点办公坐班。每次坐班需履行签到考勤手续，每缺一次签到考勤从常年律师服务费中扣除人民币1000元。</w:t>
      </w:r>
      <w:r>
        <w:rPr>
          <w:rFonts w:hint="eastAsia" w:ascii="仿宋_GB2312" w:hAnsi="宋体" w:eastAsia="仿宋_GB2312" w:cs="宋体"/>
          <w:color w:val="auto"/>
          <w:spacing w:val="-2"/>
          <w:kern w:val="0"/>
          <w:sz w:val="28"/>
          <w:szCs w:val="28"/>
        </w:rPr>
        <w:t>坐班期间交通</w:t>
      </w:r>
      <w:r>
        <w:rPr>
          <w:rFonts w:hint="eastAsia" w:ascii="仿宋_GB2312" w:hAnsi="宋体" w:eastAsia="仿宋_GB2312" w:cs="宋体"/>
          <w:color w:val="auto"/>
          <w:spacing w:val="-2"/>
          <w:kern w:val="0"/>
          <w:sz w:val="28"/>
          <w:szCs w:val="28"/>
          <w:lang w:eastAsia="zh-CN"/>
        </w:rPr>
        <w:t>费、</w:t>
      </w:r>
      <w:r>
        <w:rPr>
          <w:rFonts w:hint="eastAsia" w:ascii="仿宋_GB2312" w:hAnsi="宋体" w:eastAsia="仿宋_GB2312" w:cs="宋体"/>
          <w:color w:val="auto"/>
          <w:spacing w:val="-2"/>
          <w:kern w:val="0"/>
          <w:sz w:val="28"/>
          <w:szCs w:val="28"/>
        </w:rPr>
        <w:t>住宿费</w:t>
      </w:r>
      <w:r>
        <w:rPr>
          <w:rFonts w:hint="eastAsia" w:ascii="仿宋_GB2312" w:hAnsi="宋体" w:eastAsia="仿宋_GB2312" w:cs="宋体"/>
          <w:color w:val="auto"/>
          <w:spacing w:val="-2"/>
          <w:kern w:val="0"/>
          <w:sz w:val="28"/>
          <w:szCs w:val="28"/>
          <w:lang w:eastAsia="zh-CN"/>
        </w:rPr>
        <w:t>、打印费、快递费</w:t>
      </w:r>
      <w:r>
        <w:rPr>
          <w:rFonts w:hint="eastAsia" w:ascii="仿宋_GB2312" w:hAnsi="宋体" w:eastAsia="仿宋_GB2312" w:cs="宋体"/>
          <w:color w:val="auto"/>
          <w:spacing w:val="-2"/>
          <w:kern w:val="0"/>
          <w:sz w:val="28"/>
          <w:szCs w:val="28"/>
        </w:rPr>
        <w:t>等其他费用均由律所自行承担（由投标人考虑到报价中）</w:t>
      </w:r>
      <w:r>
        <w:rPr>
          <w:rFonts w:hint="eastAsia" w:ascii="仿宋_GB2312" w:hAnsi="宋体" w:eastAsia="仿宋_GB2312" w:cs="宋体"/>
          <w:color w:val="auto"/>
          <w:spacing w:val="-2"/>
          <w:kern w:val="0"/>
          <w:sz w:val="28"/>
          <w:szCs w:val="28"/>
          <w:lang w:eastAsia="zh-CN"/>
        </w:rPr>
        <w:t>。</w:t>
      </w:r>
    </w:p>
    <w:p>
      <w:pPr>
        <w:pStyle w:val="2"/>
        <w:rPr>
          <w:rFonts w:hint="eastAsia" w:ascii="仿宋_GB2312" w:hAnsi="宋体" w:eastAsia="仿宋_GB2312" w:cs="宋体"/>
          <w:b/>
          <w:bCs/>
          <w:color w:val="auto"/>
          <w:spacing w:val="-2"/>
          <w:kern w:val="0"/>
          <w:sz w:val="28"/>
          <w:szCs w:val="28"/>
          <w:lang w:val="en-US" w:eastAsia="zh-CN" w:bidi="ar-SA"/>
        </w:rPr>
      </w:pPr>
      <w:r>
        <w:rPr>
          <w:rFonts w:hint="eastAsia" w:ascii="仿宋_GB2312" w:hAnsi="宋体" w:eastAsia="仿宋_GB2312" w:cs="宋体"/>
          <w:b/>
          <w:bCs/>
          <w:color w:val="auto"/>
          <w:spacing w:val="-2"/>
          <w:kern w:val="0"/>
          <w:sz w:val="28"/>
          <w:szCs w:val="28"/>
          <w:lang w:val="en-US" w:eastAsia="zh-CN" w:bidi="ar-SA"/>
        </w:rPr>
        <w:t>第4条付款方式</w:t>
      </w:r>
    </w:p>
    <w:p>
      <w:pPr>
        <w:pStyle w:val="13"/>
        <w:keepNext w:val="0"/>
        <w:keepLines w:val="0"/>
        <w:pageBreakBefore w:val="0"/>
        <w:widowControl w:val="0"/>
        <w:kinsoku/>
        <w:overflowPunct/>
        <w:topLinePunct w:val="0"/>
        <w:autoSpaceDE/>
        <w:autoSpaceDN/>
        <w:bidi w:val="0"/>
        <w:adjustRightInd/>
        <w:snapToGrid/>
        <w:spacing w:before="0" w:beforeAutospacing="0" w:after="240" w:line="520" w:lineRule="exact"/>
        <w:ind w:left="425" w:leftChars="177" w:firstLine="538" w:firstLineChars="195"/>
        <w:textAlignment w:val="auto"/>
        <w:rPr>
          <w:rFonts w:hint="default" w:ascii="仿宋_GB2312" w:hAnsi="宋体" w:eastAsia="仿宋_GB2312" w:cs="宋体"/>
          <w:color w:val="auto"/>
          <w:spacing w:val="-2"/>
          <w:kern w:val="0"/>
          <w:sz w:val="28"/>
          <w:szCs w:val="28"/>
          <w:lang w:val="en-US" w:eastAsia="zh-CN" w:bidi="ar-SA"/>
        </w:rPr>
      </w:pPr>
      <w:r>
        <w:rPr>
          <w:rFonts w:hint="eastAsia" w:ascii="仿宋_GB2312" w:hAnsi="宋体" w:eastAsia="仿宋_GB2312" w:cs="宋体"/>
          <w:color w:val="auto"/>
          <w:spacing w:val="-2"/>
          <w:kern w:val="0"/>
          <w:sz w:val="28"/>
          <w:szCs w:val="28"/>
          <w:lang w:val="en-US" w:eastAsia="zh-CN" w:bidi="ar-SA"/>
        </w:rPr>
        <w:t>常年法律服务咨询费按年</w:t>
      </w:r>
      <w:r>
        <w:rPr>
          <w:rFonts w:hint="eastAsia" w:ascii="仿宋_GB2312" w:eastAsia="仿宋_GB2312" w:cs="宋体"/>
          <w:color w:val="auto"/>
          <w:spacing w:val="-2"/>
          <w:kern w:val="0"/>
          <w:sz w:val="28"/>
          <w:szCs w:val="28"/>
          <w:lang w:val="en-US" w:eastAsia="zh-CN" w:bidi="ar-SA"/>
        </w:rPr>
        <w:t>据实</w:t>
      </w:r>
      <w:r>
        <w:rPr>
          <w:rFonts w:hint="eastAsia" w:ascii="仿宋_GB2312" w:hAnsi="宋体" w:eastAsia="仿宋_GB2312" w:cs="宋体"/>
          <w:color w:val="auto"/>
          <w:spacing w:val="-2"/>
          <w:kern w:val="0"/>
          <w:sz w:val="28"/>
          <w:szCs w:val="28"/>
          <w:lang w:val="en-US" w:eastAsia="zh-CN" w:bidi="ar-SA"/>
        </w:rPr>
        <w:t>结算，等额结清，案件代理费（包括个案代理和风险代理）依据折扣率据实结算</w:t>
      </w:r>
      <w:r>
        <w:rPr>
          <w:rFonts w:hint="eastAsia" w:ascii="仿宋_GB2312" w:eastAsia="仿宋_GB2312" w:cs="宋体"/>
          <w:color w:val="auto"/>
          <w:spacing w:val="-2"/>
          <w:kern w:val="0"/>
          <w:sz w:val="28"/>
          <w:szCs w:val="28"/>
          <w:lang w:val="en-US" w:eastAsia="zh-CN" w:bidi="ar-SA"/>
        </w:rPr>
        <w:t>。</w:t>
      </w:r>
    </w:p>
    <w:p>
      <w:pPr>
        <w:widowControl/>
        <w:adjustRightInd w:val="0"/>
        <w:spacing w:line="520" w:lineRule="exact"/>
        <w:ind w:firstLine="543" w:firstLineChars="196"/>
        <w:jc w:val="left"/>
        <w:rPr>
          <w:rFonts w:hint="eastAsia" w:ascii="仿宋_GB2312" w:hAnsi="宋体" w:eastAsia="仿宋_GB2312" w:cs="宋体"/>
          <w:b/>
          <w:bCs/>
          <w:color w:val="auto"/>
          <w:spacing w:val="-2"/>
          <w:kern w:val="0"/>
          <w:sz w:val="28"/>
          <w:szCs w:val="28"/>
          <w:lang w:eastAsia="zh-CN"/>
        </w:rPr>
      </w:pPr>
      <w:r>
        <w:rPr>
          <w:rFonts w:hint="eastAsia" w:ascii="仿宋_GB2312" w:hAnsi="宋体" w:eastAsia="仿宋_GB2312" w:cs="宋体"/>
          <w:b/>
          <w:bCs/>
          <w:color w:val="auto"/>
          <w:spacing w:val="-2"/>
          <w:kern w:val="0"/>
          <w:sz w:val="28"/>
          <w:szCs w:val="28"/>
          <w:lang w:eastAsia="zh-CN"/>
        </w:rPr>
        <w:t>第</w:t>
      </w:r>
      <w:r>
        <w:rPr>
          <w:rFonts w:hint="eastAsia" w:ascii="仿宋_GB2312" w:hAnsi="宋体" w:eastAsia="仿宋_GB2312" w:cs="宋体"/>
          <w:b/>
          <w:bCs/>
          <w:color w:val="auto"/>
          <w:spacing w:val="-2"/>
          <w:kern w:val="0"/>
          <w:sz w:val="28"/>
          <w:szCs w:val="28"/>
          <w:lang w:val="en-US" w:eastAsia="zh-CN"/>
        </w:rPr>
        <w:t>5</w:t>
      </w:r>
      <w:r>
        <w:rPr>
          <w:rFonts w:hint="eastAsia" w:ascii="仿宋_GB2312" w:hAnsi="宋体" w:eastAsia="仿宋_GB2312" w:cs="宋体"/>
          <w:b/>
          <w:bCs/>
          <w:color w:val="auto"/>
          <w:spacing w:val="-2"/>
          <w:kern w:val="0"/>
          <w:sz w:val="28"/>
          <w:szCs w:val="28"/>
          <w:lang w:eastAsia="zh-CN"/>
        </w:rPr>
        <w:t>条其他要求</w:t>
      </w:r>
    </w:p>
    <w:bookmarkEnd w:id="299"/>
    <w:p>
      <w:pPr>
        <w:widowControl/>
        <w:adjustRightInd w:val="0"/>
        <w:spacing w:line="520" w:lineRule="exact"/>
        <w:ind w:firstLine="540" w:firstLineChars="196"/>
        <w:jc w:val="left"/>
        <w:rPr>
          <w:rFonts w:hint="default" w:ascii="仿宋_GB2312" w:hAnsi="宋体" w:eastAsia="仿宋_GB2312" w:cs="宋体"/>
          <w:color w:val="auto"/>
          <w:spacing w:val="-2"/>
          <w:kern w:val="0"/>
          <w:sz w:val="28"/>
          <w:szCs w:val="28"/>
          <w:highlight w:val="none"/>
          <w:lang w:val="en-US" w:eastAsia="zh-CN"/>
        </w:rPr>
      </w:pPr>
      <w:r>
        <w:rPr>
          <w:rFonts w:hint="eastAsia" w:ascii="仿宋_GB2312" w:hAnsi="宋体" w:eastAsia="仿宋_GB2312" w:cs="宋体"/>
          <w:color w:val="auto"/>
          <w:spacing w:val="-2"/>
          <w:kern w:val="0"/>
          <w:sz w:val="28"/>
          <w:szCs w:val="28"/>
          <w:lang w:val="en-US" w:eastAsia="zh-CN"/>
        </w:rPr>
        <w:t>5.1</w:t>
      </w:r>
      <w:r>
        <w:rPr>
          <w:rFonts w:hint="eastAsia" w:ascii="仿宋_GB2312" w:hAnsi="宋体" w:eastAsia="仿宋_GB2312" w:cs="宋体"/>
          <w:color w:val="auto"/>
          <w:spacing w:val="-2"/>
          <w:kern w:val="0"/>
          <w:sz w:val="28"/>
          <w:szCs w:val="28"/>
          <w:lang w:eastAsia="zh-CN"/>
        </w:rPr>
        <w:t>项目费用共分为两部分，包括常年法律顾问服务咨询费和案件代理费。法律顾问服务咨询费</w:t>
      </w:r>
      <w:r>
        <w:rPr>
          <w:rFonts w:hint="eastAsia" w:ascii="仿宋_GB2312" w:hAnsi="宋体" w:eastAsia="仿宋_GB2312" w:cs="宋体"/>
          <w:color w:val="auto"/>
          <w:spacing w:val="-2"/>
          <w:kern w:val="0"/>
          <w:sz w:val="28"/>
          <w:szCs w:val="28"/>
          <w:lang w:val="en-US" w:eastAsia="zh-CN"/>
        </w:rPr>
        <w:t>2年</w:t>
      </w:r>
      <w:r>
        <w:rPr>
          <w:rFonts w:hint="eastAsia" w:ascii="仿宋_GB2312" w:hAnsi="宋体" w:eastAsia="仿宋_GB2312" w:cs="宋体"/>
          <w:color w:val="auto"/>
          <w:spacing w:val="-2"/>
          <w:kern w:val="0"/>
          <w:sz w:val="28"/>
          <w:szCs w:val="28"/>
          <w:lang w:eastAsia="zh-CN"/>
        </w:rPr>
        <w:t>控制在</w:t>
      </w:r>
      <w:r>
        <w:rPr>
          <w:rFonts w:hint="eastAsia" w:ascii="仿宋_GB2312" w:hAnsi="宋体" w:eastAsia="仿宋_GB2312" w:cs="宋体"/>
          <w:color w:val="auto"/>
          <w:spacing w:val="-2"/>
          <w:kern w:val="0"/>
          <w:sz w:val="28"/>
          <w:szCs w:val="28"/>
          <w:lang w:val="en-US" w:eastAsia="zh-CN"/>
        </w:rPr>
        <w:t>12</w:t>
      </w:r>
      <w:r>
        <w:rPr>
          <w:rFonts w:hint="eastAsia" w:ascii="仿宋_GB2312" w:hAnsi="宋体" w:eastAsia="仿宋_GB2312" w:cs="宋体"/>
          <w:color w:val="auto"/>
          <w:spacing w:val="-2"/>
          <w:kern w:val="0"/>
          <w:sz w:val="28"/>
          <w:szCs w:val="28"/>
          <w:lang w:eastAsia="zh-CN"/>
        </w:rPr>
        <w:t>万元以内，案件代理费</w:t>
      </w:r>
      <w:r>
        <w:rPr>
          <w:rFonts w:hint="eastAsia" w:ascii="仿宋_GB2312" w:hAnsi="宋体" w:eastAsia="仿宋_GB2312" w:cs="宋体"/>
          <w:color w:val="auto"/>
          <w:spacing w:val="-2"/>
          <w:kern w:val="0"/>
          <w:sz w:val="28"/>
          <w:szCs w:val="28"/>
          <w:lang w:val="en-US" w:eastAsia="zh-CN" w:bidi="ar-SA"/>
        </w:rPr>
        <w:t>依据折扣率</w:t>
      </w:r>
      <w:r>
        <w:rPr>
          <w:rFonts w:hint="eastAsia" w:ascii="仿宋_GB2312" w:hAnsi="宋体" w:eastAsia="仿宋_GB2312" w:cs="宋体"/>
          <w:color w:val="auto"/>
          <w:spacing w:val="-2"/>
          <w:kern w:val="0"/>
          <w:sz w:val="28"/>
          <w:szCs w:val="28"/>
          <w:lang w:eastAsia="zh-CN"/>
        </w:rPr>
        <w:t>据实计算（其中个案最低律师费收费标准为</w:t>
      </w:r>
      <w:r>
        <w:rPr>
          <w:rFonts w:hint="eastAsia" w:ascii="仿宋_GB2312" w:hAnsi="宋体" w:eastAsia="仿宋_GB2312" w:cs="宋体"/>
          <w:color w:val="auto"/>
          <w:spacing w:val="-2"/>
          <w:kern w:val="0"/>
          <w:sz w:val="28"/>
          <w:szCs w:val="28"/>
          <w:lang w:val="en-US" w:eastAsia="zh-CN"/>
        </w:rPr>
        <w:t>2000元</w:t>
      </w:r>
      <w:r>
        <w:rPr>
          <w:rFonts w:hint="eastAsia" w:ascii="仿宋_GB2312" w:hAnsi="宋体" w:eastAsia="仿宋_GB2312" w:cs="宋体"/>
          <w:color w:val="auto"/>
          <w:spacing w:val="-2"/>
          <w:kern w:val="0"/>
          <w:sz w:val="28"/>
          <w:szCs w:val="28"/>
          <w:lang w:eastAsia="zh-CN"/>
        </w:rPr>
        <w:t>），</w:t>
      </w:r>
      <w:r>
        <w:rPr>
          <w:rFonts w:hint="eastAsia" w:ascii="仿宋_GB2312" w:hAnsi="宋体" w:eastAsia="仿宋_GB2312" w:cs="宋体"/>
          <w:color w:val="auto"/>
          <w:spacing w:val="-2"/>
          <w:kern w:val="0"/>
          <w:sz w:val="28"/>
          <w:szCs w:val="28"/>
          <w:lang w:val="en-US" w:eastAsia="zh-CN"/>
        </w:rPr>
        <w:t>法律服务合同期限为两年或常年法律顾问服务咨询费、案件代理费综合费用达到29万元（两种情况以先达到为准，自合同签订之日起算）</w:t>
      </w:r>
      <w:r>
        <w:rPr>
          <w:rFonts w:hint="eastAsia" w:ascii="仿宋_GB2312" w:hAnsi="宋体" w:eastAsia="仿宋_GB2312" w:cs="宋体"/>
          <w:color w:val="auto"/>
          <w:spacing w:val="-2"/>
          <w:kern w:val="0"/>
          <w:sz w:val="28"/>
          <w:szCs w:val="28"/>
          <w:lang w:eastAsia="zh-CN"/>
        </w:rPr>
        <w:t>。</w:t>
      </w:r>
      <w:r>
        <w:rPr>
          <w:rFonts w:hint="eastAsia" w:ascii="仿宋_GB2312" w:hAnsi="宋体" w:eastAsia="仿宋_GB2312" w:cs="宋体"/>
          <w:color w:val="auto"/>
          <w:spacing w:val="-2"/>
          <w:kern w:val="0"/>
          <w:sz w:val="28"/>
          <w:szCs w:val="28"/>
        </w:rPr>
        <w:t>在合同履行结束后，合同履行期间未办结的案件经业主单位同意后可</w:t>
      </w:r>
      <w:r>
        <w:rPr>
          <w:rFonts w:hint="eastAsia" w:ascii="仿宋_GB2312" w:hAnsi="宋体" w:eastAsia="仿宋_GB2312" w:cs="宋体"/>
          <w:color w:val="auto"/>
          <w:spacing w:val="-2"/>
          <w:kern w:val="0"/>
          <w:sz w:val="28"/>
          <w:szCs w:val="28"/>
          <w:lang w:eastAsia="zh-CN"/>
        </w:rPr>
        <w:t>继续办结完</w:t>
      </w:r>
      <w:r>
        <w:rPr>
          <w:rFonts w:hint="eastAsia" w:ascii="仿宋_GB2312" w:hAnsi="宋体" w:eastAsia="仿宋_GB2312" w:cs="宋体"/>
          <w:color w:val="auto"/>
          <w:spacing w:val="-2"/>
          <w:kern w:val="0"/>
          <w:sz w:val="28"/>
          <w:szCs w:val="28"/>
        </w:rPr>
        <w:t>，如若遇不可抗及政策性因素造成的另行处之。</w:t>
      </w:r>
    </w:p>
    <w:p>
      <w:pPr>
        <w:widowControl/>
        <w:adjustRightInd w:val="0"/>
        <w:spacing w:line="520" w:lineRule="exact"/>
        <w:ind w:firstLine="540" w:firstLineChars="196"/>
        <w:jc w:val="left"/>
        <w:rPr>
          <w:rFonts w:hint="eastAsia" w:ascii="仿宋_GB2312" w:hAnsi="宋体" w:eastAsia="仿宋_GB2312" w:cs="宋体"/>
          <w:color w:val="auto"/>
          <w:spacing w:val="-2"/>
          <w:kern w:val="0"/>
          <w:sz w:val="28"/>
          <w:szCs w:val="28"/>
        </w:rPr>
      </w:pPr>
      <w:r>
        <w:rPr>
          <w:rFonts w:hint="eastAsia" w:ascii="仿宋_GB2312" w:hAnsi="宋体" w:eastAsia="仿宋_GB2312" w:cs="宋体"/>
          <w:color w:val="auto"/>
          <w:spacing w:val="-2"/>
          <w:kern w:val="0"/>
          <w:sz w:val="28"/>
          <w:szCs w:val="28"/>
          <w:highlight w:val="none"/>
          <w:lang w:val="en-US" w:eastAsia="zh-CN"/>
        </w:rPr>
        <w:t>5.2</w:t>
      </w:r>
      <w:r>
        <w:rPr>
          <w:rFonts w:hint="eastAsia" w:ascii="仿宋_GB2312" w:hAnsi="宋体" w:eastAsia="仿宋_GB2312" w:cs="宋体"/>
          <w:color w:val="auto"/>
          <w:spacing w:val="-2"/>
          <w:kern w:val="0"/>
          <w:sz w:val="28"/>
          <w:szCs w:val="28"/>
        </w:rPr>
        <w:t>投标报价包含税金、油费、交通住宿费、文件资料打印费等完成本项目所发生的一切应有费用</w:t>
      </w:r>
      <w:r>
        <w:rPr>
          <w:rFonts w:hint="eastAsia" w:ascii="仿宋_GB2312" w:hAnsi="宋体" w:eastAsia="仿宋_GB2312" w:cs="宋体"/>
          <w:color w:val="auto"/>
          <w:spacing w:val="-2"/>
          <w:kern w:val="0"/>
          <w:sz w:val="28"/>
          <w:szCs w:val="28"/>
          <w:lang w:eastAsia="zh-CN"/>
        </w:rPr>
        <w:t>，</w:t>
      </w:r>
      <w:r>
        <w:rPr>
          <w:rFonts w:hint="eastAsia" w:ascii="仿宋_GB2312" w:hAnsi="宋体" w:eastAsia="仿宋_GB2312" w:cs="宋体"/>
          <w:color w:val="auto"/>
          <w:spacing w:val="-2"/>
          <w:kern w:val="0"/>
          <w:sz w:val="28"/>
          <w:szCs w:val="28"/>
        </w:rPr>
        <w:t>结算时</w:t>
      </w:r>
      <w:r>
        <w:rPr>
          <w:rFonts w:hint="eastAsia" w:ascii="仿宋_GB2312" w:hAnsi="宋体" w:eastAsia="仿宋_GB2312" w:cs="宋体"/>
          <w:color w:val="auto"/>
          <w:spacing w:val="-2"/>
          <w:kern w:val="0"/>
          <w:sz w:val="28"/>
          <w:szCs w:val="28"/>
          <w:lang w:eastAsia="zh-CN"/>
        </w:rPr>
        <w:t>免费</w:t>
      </w:r>
      <w:r>
        <w:rPr>
          <w:rFonts w:hint="eastAsia" w:ascii="仿宋_GB2312" w:hAnsi="宋体" w:eastAsia="仿宋_GB2312" w:cs="宋体"/>
          <w:color w:val="auto"/>
          <w:spacing w:val="-2"/>
          <w:kern w:val="0"/>
          <w:sz w:val="28"/>
          <w:szCs w:val="28"/>
        </w:rPr>
        <w:t>提供增值税专用发票。</w:t>
      </w:r>
    </w:p>
    <w:p>
      <w:pPr>
        <w:pStyle w:val="2"/>
        <w:rPr>
          <w:rFonts w:hint="default" w:ascii="仿宋_GB2312" w:hAnsi="宋体" w:eastAsia="仿宋_GB2312" w:cs="宋体"/>
          <w:color w:val="auto"/>
          <w:spacing w:val="-2"/>
          <w:kern w:val="0"/>
          <w:sz w:val="28"/>
          <w:szCs w:val="28"/>
          <w:lang w:val="en-US" w:eastAsia="zh-CN" w:bidi="ar-SA"/>
        </w:rPr>
      </w:pPr>
      <w:r>
        <w:rPr>
          <w:rFonts w:hint="eastAsia" w:ascii="仿宋_GB2312" w:hAnsi="宋体" w:eastAsia="仿宋_GB2312" w:cs="宋体"/>
          <w:color w:val="auto"/>
          <w:spacing w:val="-2"/>
          <w:kern w:val="0"/>
          <w:sz w:val="28"/>
          <w:szCs w:val="28"/>
          <w:lang w:val="en-US" w:eastAsia="zh-CN" w:bidi="ar-SA"/>
        </w:rPr>
        <w:t>5.3投标文件</w:t>
      </w:r>
      <w:r>
        <w:rPr>
          <w:rFonts w:hint="eastAsia" w:hAnsi="宋体" w:cs="宋体"/>
          <w:color w:val="auto"/>
          <w:spacing w:val="-2"/>
          <w:kern w:val="0"/>
          <w:sz w:val="28"/>
          <w:szCs w:val="28"/>
          <w:lang w:val="en-US" w:eastAsia="zh-CN" w:bidi="ar-SA"/>
        </w:rPr>
        <w:t>（见第六章）需加盖公章后</w:t>
      </w:r>
      <w:r>
        <w:rPr>
          <w:rFonts w:hint="eastAsia" w:ascii="仿宋_GB2312" w:hAnsi="宋体" w:eastAsia="仿宋_GB2312" w:cs="宋体"/>
          <w:color w:val="auto"/>
          <w:spacing w:val="-2"/>
          <w:kern w:val="0"/>
          <w:sz w:val="28"/>
          <w:szCs w:val="28"/>
          <w:lang w:val="en-US" w:eastAsia="zh-CN" w:bidi="ar-SA"/>
        </w:rPr>
        <w:t>密封报送</w:t>
      </w:r>
      <w:r>
        <w:rPr>
          <w:rFonts w:hint="eastAsia" w:hAnsi="宋体" w:cs="宋体"/>
          <w:color w:val="auto"/>
          <w:spacing w:val="-2"/>
          <w:kern w:val="0"/>
          <w:sz w:val="28"/>
          <w:szCs w:val="28"/>
          <w:lang w:val="en-US" w:eastAsia="zh-CN" w:bidi="ar-SA"/>
        </w:rPr>
        <w:t>，附联系方式</w:t>
      </w:r>
      <w:r>
        <w:rPr>
          <w:rFonts w:hint="eastAsia" w:ascii="仿宋_GB2312" w:hAnsi="宋体" w:eastAsia="仿宋_GB2312" w:cs="宋体"/>
          <w:color w:val="auto"/>
          <w:spacing w:val="-2"/>
          <w:kern w:val="0"/>
          <w:sz w:val="28"/>
          <w:szCs w:val="28"/>
          <w:lang w:val="en-US" w:eastAsia="zh-CN" w:bidi="ar-SA"/>
        </w:rPr>
        <w:t>。</w:t>
      </w:r>
    </w:p>
    <w:p>
      <w:pPr>
        <w:pStyle w:val="2"/>
        <w:rPr>
          <w:rFonts w:hint="eastAsia"/>
        </w:rPr>
      </w:pPr>
    </w:p>
    <w:p>
      <w:pPr>
        <w:pStyle w:val="2"/>
        <w:rPr>
          <w:rFonts w:hint="default" w:ascii="仿宋_GB2312" w:hAnsi="宋体" w:eastAsia="仿宋_GB2312" w:cs="宋体"/>
          <w:color w:val="auto"/>
          <w:spacing w:val="-2"/>
          <w:kern w:val="0"/>
          <w:sz w:val="28"/>
          <w:szCs w:val="28"/>
          <w:highlight w:val="none"/>
          <w:lang w:val="en-US" w:eastAsia="zh-CN" w:bidi="ar-SA"/>
        </w:rPr>
      </w:pPr>
    </w:p>
    <w:p>
      <w:pPr>
        <w:pStyle w:val="13"/>
        <w:keepNext w:val="0"/>
        <w:keepLines w:val="0"/>
        <w:pageBreakBefore w:val="0"/>
        <w:widowControl w:val="0"/>
        <w:kinsoku/>
        <w:overflowPunct/>
        <w:topLinePunct w:val="0"/>
        <w:autoSpaceDE/>
        <w:autoSpaceDN/>
        <w:bidi w:val="0"/>
        <w:adjustRightInd/>
        <w:snapToGrid/>
        <w:spacing w:before="0" w:beforeAutospacing="0" w:after="240" w:line="520" w:lineRule="exact"/>
        <w:ind w:firstLine="200"/>
        <w:textAlignment w:val="auto"/>
        <w:rPr>
          <w:rFonts w:hint="eastAsia" w:ascii="仿宋" w:hAnsi="仿宋" w:eastAsia="仿宋" w:cs="仿宋"/>
          <w:b/>
          <w:bCs/>
          <w:color w:val="auto"/>
          <w:spacing w:val="8"/>
          <w:sz w:val="28"/>
          <w:szCs w:val="28"/>
          <w:lang w:eastAsia="zh-CN"/>
        </w:rPr>
      </w:pPr>
    </w:p>
    <w:p>
      <w:pPr>
        <w:pStyle w:val="13"/>
        <w:keepNext w:val="0"/>
        <w:keepLines w:val="0"/>
        <w:pageBreakBefore w:val="0"/>
        <w:widowControl w:val="0"/>
        <w:kinsoku/>
        <w:overflowPunct/>
        <w:topLinePunct w:val="0"/>
        <w:autoSpaceDE/>
        <w:autoSpaceDN/>
        <w:bidi w:val="0"/>
        <w:adjustRightInd/>
        <w:snapToGrid/>
        <w:spacing w:before="0" w:beforeAutospacing="0" w:after="240" w:line="520" w:lineRule="exact"/>
        <w:ind w:firstLine="200"/>
        <w:textAlignment w:val="auto"/>
        <w:rPr>
          <w:rFonts w:hint="eastAsia" w:ascii="仿宋" w:hAnsi="仿宋" w:eastAsia="仿宋" w:cs="仿宋"/>
          <w:b/>
          <w:bCs/>
          <w:color w:val="auto"/>
          <w:spacing w:val="8"/>
          <w:sz w:val="28"/>
          <w:szCs w:val="28"/>
          <w:lang w:eastAsia="zh-CN"/>
        </w:rPr>
      </w:pPr>
    </w:p>
    <w:p>
      <w:pPr>
        <w:pStyle w:val="13"/>
        <w:keepNext w:val="0"/>
        <w:keepLines w:val="0"/>
        <w:pageBreakBefore w:val="0"/>
        <w:widowControl w:val="0"/>
        <w:kinsoku/>
        <w:overflowPunct/>
        <w:topLinePunct w:val="0"/>
        <w:autoSpaceDE/>
        <w:autoSpaceDN/>
        <w:bidi w:val="0"/>
        <w:adjustRightInd/>
        <w:snapToGrid/>
        <w:spacing w:before="0" w:beforeAutospacing="0" w:after="240" w:line="520" w:lineRule="exact"/>
        <w:ind w:firstLine="200"/>
        <w:textAlignment w:val="auto"/>
        <w:rPr>
          <w:rFonts w:hint="eastAsia" w:ascii="仿宋" w:hAnsi="仿宋" w:eastAsia="仿宋" w:cs="仿宋"/>
          <w:b/>
          <w:bCs/>
          <w:color w:val="auto"/>
          <w:spacing w:val="8"/>
          <w:sz w:val="28"/>
          <w:szCs w:val="28"/>
          <w:lang w:eastAsia="zh-CN"/>
        </w:rPr>
      </w:pPr>
      <w:r>
        <w:rPr>
          <w:rFonts w:hint="eastAsia" w:ascii="仿宋" w:hAnsi="仿宋" w:eastAsia="仿宋" w:cs="仿宋"/>
          <w:b/>
          <w:bCs/>
          <w:color w:val="auto"/>
          <w:spacing w:val="8"/>
          <w:sz w:val="28"/>
          <w:szCs w:val="28"/>
          <w:lang w:eastAsia="zh-CN"/>
        </w:rPr>
        <w:t>附件一：</w:t>
      </w:r>
    </w:p>
    <w:p>
      <w:pPr>
        <w:pStyle w:val="13"/>
        <w:keepNext w:val="0"/>
        <w:keepLines w:val="0"/>
        <w:pageBreakBefore w:val="0"/>
        <w:widowControl w:val="0"/>
        <w:kinsoku/>
        <w:overflowPunct/>
        <w:topLinePunct w:val="0"/>
        <w:autoSpaceDE/>
        <w:autoSpaceDN/>
        <w:bidi w:val="0"/>
        <w:adjustRightInd/>
        <w:snapToGrid/>
        <w:spacing w:before="0" w:beforeAutospacing="0" w:after="240" w:line="520" w:lineRule="exact"/>
        <w:ind w:firstLine="200"/>
        <w:textAlignment w:val="auto"/>
        <w:rPr>
          <w:rFonts w:hint="eastAsia" w:ascii="仿宋" w:hAnsi="仿宋" w:eastAsia="仿宋" w:cs="仿宋"/>
          <w:b/>
          <w:bCs/>
          <w:color w:val="auto"/>
          <w:spacing w:val="8"/>
          <w:sz w:val="28"/>
          <w:szCs w:val="28"/>
          <w:lang w:eastAsia="zh-CN"/>
        </w:rPr>
      </w:pPr>
      <w:r>
        <w:rPr>
          <w:rFonts w:hint="eastAsia" w:ascii="仿宋" w:hAnsi="仿宋" w:eastAsia="仿宋" w:cs="仿宋"/>
          <w:b/>
          <w:bCs/>
          <w:color w:val="auto"/>
          <w:spacing w:val="8"/>
          <w:sz w:val="28"/>
          <w:szCs w:val="28"/>
        </w:rPr>
        <w:t>个案代理</w:t>
      </w:r>
      <w:r>
        <w:rPr>
          <w:rFonts w:hint="eastAsia" w:ascii="仿宋" w:hAnsi="仿宋" w:eastAsia="仿宋" w:cs="仿宋"/>
          <w:b/>
          <w:bCs/>
          <w:color w:val="auto"/>
          <w:spacing w:val="8"/>
          <w:sz w:val="28"/>
          <w:szCs w:val="28"/>
          <w:lang w:eastAsia="zh-CN"/>
        </w:rPr>
        <w:t>收费标准</w:t>
      </w:r>
    </w:p>
    <w:p>
      <w:pPr>
        <w:keepNext w:val="0"/>
        <w:keepLines w:val="0"/>
        <w:pageBreakBefore w:val="0"/>
        <w:widowControl w:val="0"/>
        <w:numPr>
          <w:ilvl w:val="0"/>
          <w:numId w:val="3"/>
        </w:numPr>
        <w:kinsoku/>
        <w:overflowPunct/>
        <w:topLinePunct w:val="0"/>
        <w:autoSpaceDE/>
        <w:autoSpaceDN/>
        <w:bidi w:val="0"/>
        <w:adjustRightInd/>
        <w:snapToGrid/>
        <w:spacing w:beforeAutospacing="0" w:line="520" w:lineRule="exact"/>
        <w:textAlignment w:val="auto"/>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不涉及财产关系或争议标的在10万元（含10万元）以下的，每件收取基本代理费为个案最低收费标准；</w:t>
      </w:r>
    </w:p>
    <w:p>
      <w:pPr>
        <w:keepNext w:val="0"/>
        <w:keepLines w:val="0"/>
        <w:pageBreakBefore w:val="0"/>
        <w:widowControl w:val="0"/>
        <w:numPr>
          <w:ilvl w:val="0"/>
          <w:numId w:val="3"/>
        </w:numPr>
        <w:kinsoku/>
        <w:overflowPunct/>
        <w:topLinePunct w:val="0"/>
        <w:autoSpaceDE/>
        <w:autoSpaceDN/>
        <w:bidi w:val="0"/>
        <w:adjustRightInd/>
        <w:snapToGrid/>
        <w:spacing w:beforeAutospacing="0" w:line="520" w:lineRule="exact"/>
        <w:textAlignment w:val="auto"/>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涉及10万元以上财产关系的，除收取前述个案最低收费外，另按争议标的大小，分段累计收费：</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10万元以上------50万元部分（含50万元）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收费价格=个案最低收费+（案件标的-10万元）*4%*</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50万元以上------100万元部分（含100万元）</w:t>
      </w:r>
      <w:r>
        <w:rPr>
          <w:rFonts w:hint="eastAsia" w:ascii="仿宋" w:hAnsi="仿宋" w:eastAsia="仿宋" w:cs="仿宋"/>
          <w:color w:val="auto"/>
          <w:spacing w:val="8"/>
          <w:sz w:val="28"/>
          <w:szCs w:val="28"/>
          <w:lang w:val="en-US" w:eastAsia="zh-CN"/>
        </w:rPr>
        <w:t xml:space="preserve"> </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收费价格=个案最低收费+[40万元*4%+（案件标的-50万元）*3%]*</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100万元以上------500万元部分（含500万元）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收费价格=个案最低收费+[40万元*4%+50万元*3%+（案件标的-100万）*2%]*</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500万元以上</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收费价格=个案最低收费+[40万元*4%+50万元*3%+400万*2%+（案件标的-500万）*1%]*</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b/>
          <w:color w:val="auto"/>
          <w:spacing w:val="8"/>
          <w:sz w:val="28"/>
          <w:szCs w:val="28"/>
        </w:rPr>
      </w:pPr>
      <w:r>
        <w:rPr>
          <w:rFonts w:hint="eastAsia" w:ascii="仿宋" w:hAnsi="仿宋" w:eastAsia="仿宋" w:cs="仿宋"/>
          <w:b/>
          <w:color w:val="auto"/>
          <w:spacing w:val="8"/>
          <w:sz w:val="28"/>
          <w:szCs w:val="28"/>
        </w:rPr>
        <w:t>风险代理收费方式根据结案标的额按以下比例收取：</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10万元以下（含10万元）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收费价格=个案最低收费</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10万元以上------50万元部分（含50万元）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default"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收费价格=个案最低收费+（结案标的-10万元）*15%*</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50万元以上------100万元部分（含100万元）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default"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收费价格=个案最低收费+[40万元*15%+（结案标的-50万元）*13%]*</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100万元以上------500万元部分（含500万元）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收费价格=个案最低收费+[40万元*15%+50万元*13%+（结案标的-100万元）*11%]*</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500万元以上-------1000万元部分（含1000万元）</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default"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收费价格=个案最低收费+[40万元*15%+50万元*13%*+400万元*11%+（结案标的-500万元）*9%]*</w:t>
      </w:r>
      <w:r>
        <w:rPr>
          <w:rFonts w:hint="eastAsia" w:ascii="仿宋" w:hAnsi="仿宋" w:eastAsia="仿宋" w:cs="仿宋"/>
          <w:color w:val="auto"/>
          <w:spacing w:val="8"/>
          <w:sz w:val="28"/>
          <w:szCs w:val="28"/>
          <w:lang w:val="en-US" w:eastAsia="zh-CN"/>
        </w:rPr>
        <w:t>折扣率%</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1000万元以上</w:t>
      </w:r>
    </w:p>
    <w:p>
      <w:pPr>
        <w:pStyle w:val="13"/>
        <w:keepNext w:val="0"/>
        <w:keepLines w:val="0"/>
        <w:pageBreakBefore w:val="0"/>
        <w:widowControl w:val="0"/>
        <w:kinsoku/>
        <w:wordWrap w:val="0"/>
        <w:overflowPunct/>
        <w:topLinePunct w:val="0"/>
        <w:autoSpaceDE/>
        <w:autoSpaceDN/>
        <w:bidi w:val="0"/>
        <w:adjustRightInd/>
        <w:snapToGrid/>
        <w:spacing w:before="0" w:beforeAutospacing="0" w:after="0" w:line="520" w:lineRule="exact"/>
        <w:ind w:left="0" w:leftChars="0" w:right="0" w:firstLine="200"/>
        <w:jc w:val="left"/>
        <w:textAlignment w:val="auto"/>
        <w:outlineLvl w:val="9"/>
        <w:rPr>
          <w:rFonts w:hint="default"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收费价格=个案最低收费+[40万元*15%+50万元*13%+400万元*11%+500万元*9%+（结案标的-1000万元）*7%]*</w:t>
      </w:r>
      <w:r>
        <w:rPr>
          <w:rFonts w:hint="eastAsia" w:ascii="仿宋" w:hAnsi="仿宋" w:eastAsia="仿宋" w:cs="仿宋"/>
          <w:color w:val="auto"/>
          <w:spacing w:val="8"/>
          <w:sz w:val="28"/>
          <w:szCs w:val="28"/>
          <w:lang w:val="en-US" w:eastAsia="zh-CN"/>
        </w:rPr>
        <w:t>折扣率%</w:t>
      </w:r>
    </w:p>
    <w:p>
      <w:pPr>
        <w:adjustRightInd w:val="0"/>
        <w:snapToGrid w:val="0"/>
        <w:spacing w:line="520" w:lineRule="exact"/>
        <w:ind w:firstLine="480" w:firstLineChars="200"/>
        <w:rPr>
          <w:rFonts w:hint="eastAsia" w:ascii="宋体" w:hAnsi="宋体" w:eastAsia="宋体"/>
          <w:color w:val="000000"/>
          <w:sz w:val="24"/>
          <w:szCs w:val="24"/>
          <w:lang w:eastAsia="zh-CN"/>
        </w:rPr>
      </w:pPr>
    </w:p>
    <w:p>
      <w:pPr>
        <w:pStyle w:val="14"/>
        <w:ind w:left="0" w:leftChars="0" w:firstLine="0"/>
        <w:rPr>
          <w:rFonts w:hint="eastAsia"/>
        </w:rPr>
      </w:pPr>
    </w:p>
    <w:bookmarkEnd w:id="250"/>
    <w:bookmarkEnd w:id="251"/>
    <w:bookmarkEnd w:id="252"/>
    <w:bookmarkEnd w:id="253"/>
    <w:p>
      <w:pPr>
        <w:pStyle w:val="3"/>
        <w:numPr>
          <w:ilvl w:val="0"/>
          <w:numId w:val="4"/>
        </w:numPr>
        <w:jc w:val="center"/>
        <w:rPr>
          <w:rFonts w:hint="eastAsia" w:ascii="宋体" w:hAnsi="宋体"/>
          <w:color w:val="000000"/>
          <w:sz w:val="32"/>
          <w:szCs w:val="32"/>
        </w:rPr>
      </w:pPr>
      <w:r>
        <w:rPr>
          <w:rFonts w:hint="eastAsia"/>
          <w:bCs/>
          <w:snapToGrid w:val="0"/>
          <w:color w:val="000000"/>
          <w:kern w:val="0"/>
          <w:szCs w:val="21"/>
        </w:rPr>
        <w:br w:type="page"/>
      </w:r>
      <w:bookmarkStart w:id="300" w:name="_Toc72221892"/>
      <w:r>
        <w:rPr>
          <w:rFonts w:hint="eastAsia" w:ascii="宋体" w:hAnsi="宋体"/>
          <w:color w:val="000000"/>
          <w:sz w:val="32"/>
          <w:szCs w:val="32"/>
        </w:rPr>
        <w:t xml:space="preserve"> 投标文件格式</w:t>
      </w:r>
      <w:bookmarkEnd w:id="300"/>
    </w:p>
    <w:p>
      <w:pPr>
        <w:numPr>
          <w:ilvl w:val="0"/>
          <w:numId w:val="5"/>
        </w:numPr>
        <w:adjustRightInd w:val="0"/>
        <w:snapToGrid w:val="0"/>
        <w:spacing w:before="48" w:beforeLines="20" w:after="48" w:afterLines="20" w:line="400" w:lineRule="exact"/>
        <w:ind w:left="300" w:leftChars="0" w:firstLine="420" w:firstLineChars="0"/>
        <w:rPr>
          <w:rFonts w:hint="eastAsia" w:ascii="宋体" w:hAnsi="宋体" w:eastAsia="宋体"/>
          <w:bCs/>
          <w:color w:val="auto"/>
          <w:szCs w:val="32"/>
          <w:lang w:val="en-US" w:eastAsia="zh-CN"/>
        </w:rPr>
      </w:pPr>
      <w:r>
        <w:rPr>
          <w:rFonts w:hint="eastAsia" w:ascii="宋体" w:hAnsi="宋体" w:eastAsia="宋体"/>
          <w:bCs/>
          <w:color w:val="auto"/>
          <w:szCs w:val="32"/>
          <w:lang w:val="en-US" w:eastAsia="zh-CN"/>
        </w:rPr>
        <w:t>投标文件需提供纸质档6份，按第六章（共十一项）顺序装订，逐页盖章；</w:t>
      </w:r>
    </w:p>
    <w:p>
      <w:pPr>
        <w:numPr>
          <w:ilvl w:val="0"/>
          <w:numId w:val="5"/>
        </w:numPr>
        <w:adjustRightInd w:val="0"/>
        <w:snapToGrid w:val="0"/>
        <w:spacing w:before="48" w:beforeLines="20" w:after="48" w:afterLines="20" w:line="400" w:lineRule="exact"/>
        <w:ind w:left="300" w:leftChars="0" w:firstLine="420" w:firstLineChars="0"/>
        <w:rPr>
          <w:rFonts w:hint="default" w:ascii="宋体" w:hAnsi="宋体" w:eastAsia="宋体"/>
          <w:bCs/>
          <w:color w:val="auto"/>
          <w:szCs w:val="32"/>
          <w:lang w:val="en-US" w:eastAsia="zh-CN"/>
        </w:rPr>
      </w:pPr>
      <w:r>
        <w:rPr>
          <w:rFonts w:hint="eastAsia" w:ascii="宋体" w:hAnsi="宋体" w:eastAsia="宋体"/>
          <w:bCs/>
          <w:color w:val="auto"/>
          <w:szCs w:val="32"/>
          <w:lang w:val="en-US" w:eastAsia="zh-CN"/>
        </w:rPr>
        <w:t>前三项投标函、投标响应函、授权委托书按照固定格式，后八项自定格式；</w:t>
      </w:r>
    </w:p>
    <w:p>
      <w:pPr>
        <w:numPr>
          <w:ilvl w:val="0"/>
          <w:numId w:val="5"/>
        </w:numPr>
        <w:adjustRightInd w:val="0"/>
        <w:snapToGrid w:val="0"/>
        <w:spacing w:before="48" w:beforeLines="20" w:after="48" w:afterLines="20" w:line="400" w:lineRule="exact"/>
        <w:ind w:left="300" w:leftChars="0" w:right="-15" w:rightChars="0" w:firstLine="420" w:firstLineChars="0"/>
        <w:rPr>
          <w:rFonts w:hint="eastAsia" w:ascii="宋体" w:hAnsi="宋体" w:eastAsia="宋体"/>
          <w:bCs/>
          <w:color w:val="auto"/>
          <w:szCs w:val="32"/>
          <w:lang w:val="en-US" w:eastAsia="zh-CN"/>
        </w:rPr>
      </w:pPr>
      <w:r>
        <w:rPr>
          <w:rFonts w:hint="eastAsia" w:ascii="宋体" w:hAnsi="宋体" w:eastAsia="宋体"/>
          <w:bCs/>
          <w:color w:val="auto"/>
          <w:szCs w:val="32"/>
          <w:lang w:val="en-US" w:eastAsia="zh-CN"/>
        </w:rPr>
        <w:t>于2021年12月19日前密封邮递至水湖镇圆梦苑长丰供水集团有限公司三楼办公室，联系电话0551-66671460。</w:t>
      </w:r>
    </w:p>
    <w:p>
      <w:pPr>
        <w:pStyle w:val="2"/>
        <w:numPr>
          <w:ilvl w:val="0"/>
          <w:numId w:val="5"/>
        </w:numPr>
        <w:ind w:left="300" w:leftChars="0" w:firstLine="420" w:firstLineChars="0"/>
        <w:rPr>
          <w:rFonts w:hint="default" w:ascii="宋体" w:hAnsi="宋体" w:eastAsia="宋体" w:cs="Calibri"/>
          <w:bCs/>
          <w:color w:val="auto"/>
          <w:kern w:val="2"/>
          <w:sz w:val="24"/>
          <w:szCs w:val="32"/>
          <w:lang w:val="en-US" w:eastAsia="zh-CN" w:bidi="ar-SA"/>
        </w:rPr>
      </w:pPr>
      <w:r>
        <w:rPr>
          <w:rFonts w:hint="eastAsia" w:ascii="宋体" w:hAnsi="宋体" w:eastAsia="宋体" w:cs="Calibri"/>
          <w:bCs/>
          <w:color w:val="auto"/>
          <w:kern w:val="2"/>
          <w:sz w:val="24"/>
          <w:szCs w:val="32"/>
          <w:lang w:val="en-US" w:eastAsia="zh-CN" w:bidi="ar-SA"/>
        </w:rPr>
        <w:t>如出现材料不全、顺序混乱、材料信息模糊等情况，影响评标成绩，后果自负。</w:t>
      </w:r>
    </w:p>
    <w:p>
      <w:pPr>
        <w:spacing w:line="400" w:lineRule="exact"/>
        <w:rPr>
          <w:rFonts w:ascii="宋体" w:hAnsi="宋体"/>
        </w:rPr>
      </w:pPr>
    </w:p>
    <w:p>
      <w:pPr>
        <w:spacing w:line="400" w:lineRule="exact"/>
        <w:rPr>
          <w:rFonts w:ascii="宋体" w:hAnsi="宋体"/>
        </w:rPr>
      </w:pPr>
      <w:r>
        <w:rPr>
          <w:rFonts w:ascii="宋体" w:hAnsi="宋体"/>
        </w:rPr>
        <w:br w:type="page"/>
      </w:r>
    </w:p>
    <w:p>
      <w:pPr>
        <w:jc w:val="center"/>
        <w:rPr>
          <w:rFonts w:ascii="宋体" w:hAnsi="宋体"/>
          <w:sz w:val="28"/>
          <w:szCs w:val="28"/>
          <w:u w:val="single"/>
        </w:rPr>
      </w:pPr>
      <w:r>
        <w:rPr>
          <w:rFonts w:hint="eastAsia" w:ascii="宋体" w:hAnsi="宋体" w:eastAsia="宋体"/>
          <w:b/>
          <w:bCs w:val="0"/>
          <w:sz w:val="32"/>
          <w:szCs w:val="40"/>
          <w:u w:val="single"/>
        </w:rPr>
        <w:t>长丰供水集团有限公司及其</w:t>
      </w:r>
      <w:r>
        <w:rPr>
          <w:rFonts w:hint="eastAsia" w:ascii="宋体" w:hAnsi="宋体" w:eastAsia="宋体"/>
          <w:b/>
          <w:bCs w:val="0"/>
          <w:sz w:val="32"/>
          <w:szCs w:val="40"/>
          <w:u w:val="single"/>
          <w:lang w:eastAsia="zh-CN"/>
        </w:rPr>
        <w:t>五</w:t>
      </w:r>
      <w:r>
        <w:rPr>
          <w:rFonts w:hint="eastAsia" w:ascii="宋体" w:hAnsi="宋体" w:eastAsia="宋体"/>
          <w:b/>
          <w:bCs w:val="0"/>
          <w:sz w:val="32"/>
          <w:szCs w:val="40"/>
          <w:u w:val="single"/>
        </w:rPr>
        <w:t>家关联公司</w:t>
      </w:r>
      <w:r>
        <w:rPr>
          <w:rFonts w:hint="eastAsia" w:ascii="宋体" w:hAnsi="宋体" w:eastAsia="宋体"/>
          <w:b/>
          <w:bCs w:val="0"/>
          <w:sz w:val="32"/>
          <w:szCs w:val="40"/>
          <w:u w:val="single"/>
          <w:lang w:eastAsia="zh-CN"/>
        </w:rPr>
        <w:t>法律顾问</w:t>
      </w:r>
      <w:r>
        <w:rPr>
          <w:rFonts w:hint="eastAsia" w:ascii="宋体" w:hAnsi="宋体" w:eastAsia="宋体"/>
          <w:b/>
          <w:bCs w:val="0"/>
          <w:sz w:val="32"/>
          <w:szCs w:val="40"/>
          <w:u w:val="single"/>
          <w:lang w:val="en-US" w:eastAsia="zh-CN"/>
        </w:rPr>
        <w:t xml:space="preserve"> </w:t>
      </w:r>
      <w:r>
        <w:rPr>
          <w:rFonts w:hint="eastAsia" w:ascii="宋体" w:hAnsi="宋体"/>
          <w:sz w:val="28"/>
          <w:szCs w:val="28"/>
        </w:rPr>
        <w:t>招标项目</w:t>
      </w:r>
    </w:p>
    <w:p>
      <w:pPr>
        <w:rPr>
          <w:rFonts w:ascii="宋体" w:hAnsi="宋体"/>
          <w:color w:val="000000"/>
          <w:sz w:val="20"/>
        </w:rPr>
      </w:pPr>
    </w:p>
    <w:p>
      <w:pPr>
        <w:rPr>
          <w:rFonts w:ascii="宋体" w:hAnsi="宋体"/>
          <w:color w:val="000000"/>
          <w:sz w:val="20"/>
        </w:rPr>
      </w:pPr>
    </w:p>
    <w:p>
      <w:pPr>
        <w:rPr>
          <w:rFonts w:ascii="宋体" w:hAnsi="宋体"/>
          <w:color w:val="000000"/>
          <w:sz w:val="20"/>
        </w:rPr>
      </w:pPr>
    </w:p>
    <w:p>
      <w:pPr>
        <w:rPr>
          <w:rFonts w:ascii="宋体" w:hAnsi="宋体"/>
          <w:color w:val="000000"/>
          <w:sz w:val="20"/>
        </w:rPr>
      </w:pPr>
    </w:p>
    <w:p>
      <w:pPr>
        <w:pStyle w:val="4"/>
        <w:jc w:val="center"/>
        <w:rPr>
          <w:rFonts w:ascii="宋体" w:hAnsi="宋体" w:eastAsia="宋体"/>
          <w:b w:val="0"/>
          <w:sz w:val="44"/>
          <w:szCs w:val="44"/>
        </w:rPr>
      </w:pPr>
      <w:bookmarkStart w:id="301" w:name="_Toc72221893"/>
      <w:r>
        <w:rPr>
          <w:rFonts w:hint="eastAsia" w:ascii="宋体" w:hAnsi="宋体" w:eastAsia="宋体"/>
          <w:b w:val="0"/>
          <w:sz w:val="44"/>
          <w:szCs w:val="44"/>
        </w:rPr>
        <w:t>投标文件</w:t>
      </w:r>
      <w:r>
        <w:rPr>
          <w:rFonts w:ascii="宋体" w:hAnsi="宋体" w:eastAsia="宋体"/>
          <w:b w:val="0"/>
          <w:sz w:val="44"/>
          <w:szCs w:val="44"/>
        </w:rPr>
        <w:br w:type="textWrapping"/>
      </w:r>
      <w:r>
        <w:rPr>
          <w:rFonts w:hint="eastAsia" w:ascii="宋体" w:hAnsi="宋体" w:eastAsia="宋体"/>
          <w:b w:val="0"/>
          <w:sz w:val="44"/>
          <w:szCs w:val="44"/>
        </w:rPr>
        <w:t>商务及技术文件</w:t>
      </w:r>
      <w:bookmarkEnd w:id="301"/>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spacing w:line="360" w:lineRule="auto"/>
        <w:ind w:left="0" w:leftChars="0" w:firstLine="0" w:firstLineChars="0"/>
        <w:jc w:val="center"/>
        <w:rPr>
          <w:rFonts w:hint="eastAsia" w:ascii="Times New Roman" w:hAnsi="Times New Roman" w:eastAsia="黑体"/>
          <w:color w:val="000000"/>
          <w:sz w:val="28"/>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w:t>
      </w:r>
      <w:r>
        <w:rPr>
          <w:rFonts w:hint="eastAsia" w:ascii="黑体" w:eastAsia="黑体"/>
          <w:sz w:val="28"/>
          <w:szCs w:val="28"/>
        </w:rPr>
        <w:t>盖单位章</w:t>
      </w:r>
      <w:r>
        <w:rPr>
          <w:rFonts w:ascii="Times New Roman" w:hAnsi="Times New Roman" w:eastAsia="黑体"/>
          <w:color w:val="000000"/>
          <w:sz w:val="28"/>
        </w:rPr>
        <w:t>）</w:t>
      </w:r>
    </w:p>
    <w:p>
      <w:pPr>
        <w:spacing w:line="360" w:lineRule="auto"/>
        <w:ind w:firstLine="1260" w:firstLineChars="450"/>
        <w:rPr>
          <w:rFonts w:ascii="Times New Roman" w:hAnsi="Times New Roman" w:eastAsia="黑体"/>
          <w:color w:val="000000"/>
          <w:sz w:val="28"/>
          <w:u w:val="single"/>
        </w:rPr>
      </w:pPr>
    </w:p>
    <w:p>
      <w:pPr>
        <w:spacing w:line="600" w:lineRule="exact"/>
        <w:jc w:val="center"/>
        <w:rPr>
          <w:rFonts w:ascii="宋体" w:hAnsi="宋体"/>
          <w:sz w:val="32"/>
          <w:szCs w:val="32"/>
        </w:rPr>
      </w:pPr>
      <w:r>
        <w:rPr>
          <w:rFonts w:ascii="Times New Roman" w:hAnsi="Times New Roman"/>
          <w:color w:val="000000"/>
          <w:u w:val="single"/>
        </w:rPr>
        <w:t xml:space="preserve">       </w:t>
      </w:r>
      <w:bookmarkStart w:id="302" w:name="_Toc72221894"/>
      <w:bookmarkStart w:id="303" w:name="_Toc72221470"/>
      <w:r>
        <w:rPr>
          <w:rFonts w:ascii="Times New Roman" w:hAnsi="Times New Roman"/>
          <w:color w:val="000000"/>
          <w:sz w:val="28"/>
        </w:rPr>
        <w:t>年</w:t>
      </w:r>
      <w:r>
        <w:rPr>
          <w:rFonts w:ascii="Times New Roman" w:hAnsi="Times New Roman"/>
          <w:color w:val="000000"/>
          <w:u w:val="single"/>
        </w:rPr>
        <w:t xml:space="preserve">       </w:t>
      </w:r>
      <w:r>
        <w:rPr>
          <w:rFonts w:ascii="Times New Roman" w:hAnsi="Times New Roman"/>
          <w:color w:val="000000"/>
          <w:sz w:val="28"/>
        </w:rPr>
        <w:t>月</w:t>
      </w:r>
      <w:r>
        <w:rPr>
          <w:rFonts w:ascii="Times New Roman" w:hAnsi="Times New Roman"/>
          <w:color w:val="000000"/>
          <w:u w:val="single"/>
        </w:rPr>
        <w:t xml:space="preserve">       </w:t>
      </w:r>
      <w:r>
        <w:rPr>
          <w:rFonts w:ascii="Times New Roman" w:hAnsi="Times New Roman"/>
          <w:color w:val="000000"/>
          <w:sz w:val="28"/>
        </w:rPr>
        <w:t>日</w:t>
      </w:r>
      <w:r>
        <w:rPr>
          <w:rFonts w:ascii="宋体" w:hAnsi="宋体"/>
          <w:color w:val="000000"/>
        </w:rPr>
        <w:br w:type="page"/>
      </w:r>
      <w:bookmarkEnd w:id="302"/>
      <w:bookmarkEnd w:id="303"/>
    </w:p>
    <w:bookmarkEnd w:id="254"/>
    <w:bookmarkEnd w:id="255"/>
    <w:bookmarkEnd w:id="256"/>
    <w:bookmarkEnd w:id="257"/>
    <w:bookmarkEnd w:id="258"/>
    <w:bookmarkEnd w:id="259"/>
    <w:bookmarkEnd w:id="260"/>
    <w:bookmarkEnd w:id="261"/>
    <w:bookmarkEnd w:id="262"/>
    <w:p>
      <w:pPr>
        <w:pStyle w:val="5"/>
        <w:ind w:left="0" w:leftChars="0" w:firstLine="0" w:firstLineChars="0"/>
        <w:jc w:val="center"/>
        <w:rPr>
          <w:rFonts w:hint="eastAsia" w:ascii="Times New Roman" w:hAnsi="Times New Roman" w:eastAsia="黑体"/>
          <w:bCs/>
          <w:sz w:val="36"/>
          <w:szCs w:val="36"/>
          <w:lang w:eastAsia="zh-CN"/>
        </w:rPr>
      </w:pPr>
      <w:bookmarkStart w:id="304" w:name="_Toc152045787"/>
      <w:bookmarkStart w:id="305" w:name="_Toc144974856"/>
      <w:bookmarkStart w:id="306" w:name="_Toc247514246"/>
      <w:bookmarkStart w:id="307" w:name="_Toc152042576"/>
      <w:bookmarkStart w:id="308" w:name="_Toc384308375"/>
      <w:bookmarkStart w:id="309" w:name="_Toc247527827"/>
      <w:bookmarkStart w:id="310" w:name="_Toc17960"/>
      <w:bookmarkStart w:id="311" w:name="_Toc300835209"/>
      <w:bookmarkStart w:id="312" w:name="_Toc352691661"/>
      <w:bookmarkStart w:id="313" w:name="_Toc361508752"/>
      <w:bookmarkStart w:id="314" w:name="_Toc369531697"/>
      <w:r>
        <w:rPr>
          <w:rFonts w:hint="eastAsia" w:ascii="Times New Roman" w:hAnsi="Times New Roman"/>
          <w:bCs/>
          <w:sz w:val="36"/>
          <w:szCs w:val="36"/>
        </w:rPr>
        <w:t>一、投标函</w:t>
      </w:r>
      <w:r>
        <w:rPr>
          <w:rFonts w:hint="eastAsia" w:ascii="Times New Roman" w:hAnsi="Times New Roman"/>
          <w:bCs/>
          <w:sz w:val="36"/>
          <w:szCs w:val="36"/>
          <w:lang w:eastAsia="zh-CN"/>
        </w:rPr>
        <w:t>（固定格式）</w:t>
      </w:r>
    </w:p>
    <w:p>
      <w:pPr>
        <w:adjustRightInd w:val="0"/>
        <w:snapToGrid w:val="0"/>
        <w:spacing w:before="48" w:beforeLines="20" w:after="48" w:afterLines="20" w:line="400" w:lineRule="exact"/>
        <w:rPr>
          <w:rFonts w:hint="eastAsia" w:ascii="Times New Roman" w:hAnsi="Times New Roman"/>
          <w:u w:val="single"/>
        </w:rPr>
      </w:pPr>
      <w:r>
        <w:rPr>
          <w:rFonts w:hint="eastAsia" w:ascii="Times New Roman" w:hAnsi="Times New Roman"/>
        </w:rPr>
        <w:t>致：</w:t>
      </w:r>
      <w:r>
        <w:rPr>
          <w:rFonts w:hint="eastAsia" w:ascii="Times New Roman" w:hAnsi="Times New Roman"/>
          <w:u w:val="single"/>
        </w:rPr>
        <w:t xml:space="preserve">  </w:t>
      </w:r>
      <w:r>
        <w:rPr>
          <w:rFonts w:hint="eastAsia" w:ascii="Times New Roman" w:hAnsi="Times New Roman" w:eastAsia="宋体"/>
          <w:u w:val="single"/>
          <w:lang w:eastAsia="zh-CN"/>
        </w:rPr>
        <w:t>长丰供水集团有限公司</w:t>
      </w:r>
      <w:r>
        <w:rPr>
          <w:rFonts w:hint="eastAsia" w:ascii="Times New Roman" w:hAnsi="Times New Roman" w:eastAsia="宋体"/>
          <w:u w:val="single"/>
          <w:lang w:val="en-US" w:eastAsia="zh-CN"/>
        </w:rPr>
        <w:t xml:space="preserve">   </w:t>
      </w:r>
      <w:r>
        <w:rPr>
          <w:rFonts w:hint="eastAsia" w:ascii="Times New Roman" w:hAnsi="Times New Roman"/>
          <w:u w:val="single"/>
        </w:rPr>
        <w:t xml:space="preserve">   </w:t>
      </w:r>
    </w:p>
    <w:p>
      <w:pPr>
        <w:tabs>
          <w:tab w:val="left" w:pos="7560"/>
        </w:tabs>
        <w:adjustRightInd w:val="0"/>
        <w:snapToGrid w:val="0"/>
        <w:spacing w:before="48" w:beforeLines="20" w:after="48" w:afterLines="20" w:line="400" w:lineRule="exact"/>
        <w:ind w:firstLine="480" w:firstLineChars="200"/>
        <w:jc w:val="left"/>
        <w:rPr>
          <w:rFonts w:hint="eastAsia" w:ascii="Times New Roman" w:hAnsi="Times New Roman"/>
          <w:b/>
          <w:bCs/>
          <w:sz w:val="24"/>
          <w:szCs w:val="24"/>
          <w:u w:val="single"/>
        </w:rPr>
      </w:pPr>
      <w:r>
        <w:rPr>
          <w:rFonts w:hint="eastAsia" w:ascii="Times New Roman" w:hAnsi="Times New Roman"/>
          <w:b/>
          <w:bCs/>
          <w:sz w:val="24"/>
          <w:szCs w:val="24"/>
        </w:rPr>
        <w:t>1．我方已仔细研究了</w:t>
      </w:r>
      <w:r>
        <w:rPr>
          <w:rFonts w:hint="eastAsia" w:ascii="Times New Roman" w:hAnsi="Times New Roman"/>
          <w:b/>
          <w:bCs/>
          <w:sz w:val="24"/>
          <w:szCs w:val="24"/>
          <w:u w:val="single"/>
        </w:rPr>
        <w:t xml:space="preserve">       </w:t>
      </w:r>
      <w:r>
        <w:rPr>
          <w:rFonts w:hint="eastAsia" w:ascii="Times New Roman" w:hAnsi="Times New Roman" w:eastAsia="宋体"/>
          <w:b/>
          <w:bCs/>
          <w:sz w:val="24"/>
          <w:szCs w:val="24"/>
          <w:u w:val="single"/>
          <w:lang w:val="en-US" w:eastAsia="zh-CN"/>
        </w:rPr>
        <w:t xml:space="preserve">  </w:t>
      </w:r>
      <w:r>
        <w:rPr>
          <w:rFonts w:hint="eastAsia" w:ascii="Times New Roman" w:hAnsi="Times New Roman"/>
          <w:b/>
          <w:bCs/>
          <w:sz w:val="24"/>
          <w:szCs w:val="24"/>
          <w:u w:val="single"/>
        </w:rPr>
        <w:t xml:space="preserve">   </w:t>
      </w:r>
      <w:r>
        <w:rPr>
          <w:rFonts w:hint="eastAsia" w:ascii="Times New Roman" w:hAnsi="Times New Roman" w:eastAsia="宋体"/>
          <w:b/>
          <w:bCs/>
          <w:sz w:val="24"/>
          <w:szCs w:val="24"/>
          <w:u w:val="single"/>
          <w:lang w:val="en-US" w:eastAsia="zh-CN"/>
        </w:rPr>
        <w:t xml:space="preserve">  </w:t>
      </w:r>
      <w:r>
        <w:rPr>
          <w:rFonts w:hint="eastAsia" w:ascii="Times New Roman" w:hAnsi="Times New Roman"/>
          <w:b/>
          <w:bCs/>
          <w:sz w:val="24"/>
          <w:szCs w:val="24"/>
          <w:u w:val="single"/>
        </w:rPr>
        <w:t xml:space="preserve">       </w:t>
      </w:r>
      <w:r>
        <w:rPr>
          <w:rFonts w:hint="eastAsia" w:ascii="Times New Roman" w:hAnsi="Times New Roman"/>
          <w:b/>
          <w:bCs/>
          <w:sz w:val="24"/>
          <w:szCs w:val="24"/>
        </w:rPr>
        <w:t>（招标项目名称）招标项目招标文件的全部内容，愿意以</w:t>
      </w:r>
      <w:r>
        <w:rPr>
          <w:rFonts w:hint="eastAsia" w:ascii="Times New Roman" w:hAnsi="Times New Roman" w:eastAsia="宋体"/>
          <w:b/>
          <w:bCs/>
          <w:sz w:val="24"/>
          <w:szCs w:val="24"/>
          <w:u w:val="single"/>
          <w:lang w:eastAsia="zh-CN"/>
        </w:rPr>
        <w:t>法律咨询服务费（两年）共计</w:t>
      </w:r>
      <w:r>
        <w:rPr>
          <w:rFonts w:hint="eastAsia" w:ascii="Times New Roman" w:hAnsi="Times New Roman"/>
          <w:b/>
          <w:bCs/>
          <w:sz w:val="24"/>
          <w:szCs w:val="24"/>
          <w:u w:val="single"/>
        </w:rPr>
        <w:t xml:space="preserve"> ：       </w:t>
      </w:r>
      <w:r>
        <w:rPr>
          <w:rFonts w:hint="eastAsia" w:ascii="Times New Roman" w:hAnsi="Times New Roman" w:eastAsia="宋体"/>
          <w:b/>
          <w:bCs/>
          <w:sz w:val="24"/>
          <w:szCs w:val="24"/>
          <w:u w:val="single"/>
          <w:lang w:val="en-US" w:eastAsia="zh-CN"/>
        </w:rPr>
        <w:t xml:space="preserve"> </w:t>
      </w:r>
      <w:r>
        <w:rPr>
          <w:rFonts w:hint="eastAsia" w:ascii="Times New Roman" w:hAnsi="Times New Roman" w:eastAsia="宋体"/>
          <w:b/>
          <w:bCs/>
          <w:sz w:val="24"/>
          <w:szCs w:val="24"/>
          <w:u w:val="single"/>
          <w:lang w:eastAsia="zh-CN"/>
        </w:rPr>
        <w:t>元</w:t>
      </w:r>
      <w:r>
        <w:rPr>
          <w:rFonts w:hint="eastAsia" w:ascii="Times New Roman" w:hAnsi="Times New Roman"/>
          <w:b/>
          <w:bCs/>
          <w:sz w:val="24"/>
          <w:szCs w:val="24"/>
          <w:u w:val="single"/>
        </w:rPr>
        <w:t>；</w:t>
      </w:r>
      <w:r>
        <w:rPr>
          <w:rFonts w:hint="eastAsia" w:ascii="Times New Roman" w:hAnsi="Times New Roman" w:eastAsia="宋体"/>
          <w:b/>
          <w:bCs/>
          <w:sz w:val="24"/>
          <w:szCs w:val="24"/>
          <w:u w:val="single"/>
          <w:lang w:eastAsia="zh-CN"/>
        </w:rPr>
        <w:t>案件代理费（包括个案代理收费和风险代理收费）的折扣率</w:t>
      </w:r>
      <w:r>
        <w:rPr>
          <w:rFonts w:hint="eastAsia" w:ascii="Times New Roman" w:hAnsi="Times New Roman"/>
          <w:b/>
          <w:bCs/>
          <w:sz w:val="24"/>
          <w:szCs w:val="24"/>
          <w:u w:val="single"/>
        </w:rPr>
        <w:t xml:space="preserve">：  </w:t>
      </w:r>
      <w:r>
        <w:rPr>
          <w:rFonts w:hint="eastAsia" w:ascii="Times New Roman" w:hAnsi="Times New Roman" w:eastAsia="宋体"/>
          <w:b/>
          <w:bCs/>
          <w:sz w:val="24"/>
          <w:szCs w:val="24"/>
          <w:u w:val="single"/>
          <w:lang w:val="en-US" w:eastAsia="zh-CN"/>
        </w:rPr>
        <w:t xml:space="preserve">  </w:t>
      </w:r>
      <w:r>
        <w:rPr>
          <w:rFonts w:hint="eastAsia" w:ascii="Times New Roman" w:hAnsi="Times New Roman"/>
          <w:b/>
          <w:bCs/>
          <w:sz w:val="24"/>
          <w:szCs w:val="24"/>
          <w:u w:val="single"/>
        </w:rPr>
        <w:t xml:space="preserve"> %</w:t>
      </w:r>
      <w:r>
        <w:rPr>
          <w:rFonts w:hint="eastAsia" w:ascii="Times New Roman" w:hAnsi="Times New Roman"/>
          <w:b/>
          <w:bCs/>
          <w:sz w:val="24"/>
          <w:szCs w:val="24"/>
        </w:rPr>
        <w:t>的投标报价提供服务，并按合同约定履行义务。</w:t>
      </w:r>
    </w:p>
    <w:p>
      <w:pPr>
        <w:adjustRightInd w:val="0"/>
        <w:snapToGrid w:val="0"/>
        <w:spacing w:before="48" w:beforeLines="20" w:after="48" w:afterLines="20" w:line="400" w:lineRule="exact"/>
        <w:ind w:firstLine="420" w:firstLineChars="175"/>
        <w:rPr>
          <w:rFonts w:hint="eastAsia" w:ascii="Times New Roman" w:hAnsi="Times New Roman"/>
          <w:bCs/>
          <w:szCs w:val="32"/>
        </w:rPr>
      </w:pPr>
      <w:r>
        <w:rPr>
          <w:rFonts w:hint="eastAsia" w:ascii="Times New Roman" w:hAnsi="Times New Roman"/>
          <w:bCs/>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48" w:beforeLines="20" w:after="48" w:afterLines="20" w:line="400" w:lineRule="exact"/>
        <w:ind w:firstLine="420" w:firstLineChars="175"/>
        <w:rPr>
          <w:rFonts w:hint="eastAsia" w:ascii="Times New Roman" w:hAnsi="Times New Roman"/>
          <w:bCs/>
          <w:szCs w:val="32"/>
        </w:rPr>
      </w:pPr>
      <w:r>
        <w:rPr>
          <w:rFonts w:hint="eastAsia" w:ascii="Times New Roman" w:hAnsi="Times New Roman"/>
          <w:bCs/>
          <w:szCs w:val="32"/>
        </w:rPr>
        <w:t>3. 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hint="eastAsia" w:ascii="Times New Roman" w:hAnsi="Times New Roman"/>
          <w:bCs/>
          <w:szCs w:val="32"/>
        </w:rPr>
      </w:pPr>
      <w:r>
        <w:rPr>
          <w:rFonts w:hint="eastAsia" w:ascii="Times New Roman" w:hAnsi="Times New Roman"/>
          <w:bCs/>
          <w:szCs w:val="32"/>
        </w:rPr>
        <w:t>4. 其他补充说明：</w:t>
      </w:r>
      <w:r>
        <w:rPr>
          <w:rFonts w:hint="eastAsia" w:ascii="Times New Roman" w:hAnsi="Times New Roman"/>
          <w:bCs/>
          <w:szCs w:val="32"/>
          <w:u w:val="single"/>
        </w:rPr>
        <w:t xml:space="preserve">                                   </w:t>
      </w:r>
      <w:r>
        <w:rPr>
          <w:rFonts w:hint="eastAsia" w:ascii="Times New Roman" w:hAnsi="Times New Roman"/>
          <w:bCs/>
          <w:szCs w:val="32"/>
        </w:rPr>
        <w:t>（补充说明事项）</w:t>
      </w:r>
    </w:p>
    <w:p>
      <w:pPr>
        <w:adjustRightInd w:val="0"/>
        <w:snapToGrid w:val="0"/>
        <w:spacing w:before="48" w:beforeLines="20" w:after="48" w:afterLines="20" w:line="400" w:lineRule="exact"/>
        <w:ind w:firstLine="420" w:firstLineChars="175"/>
        <w:rPr>
          <w:rFonts w:hint="eastAsia" w:ascii="Times New Roman" w:hAnsi="Times New Roman"/>
          <w:bCs/>
          <w:szCs w:val="32"/>
        </w:rPr>
      </w:pPr>
      <w:r>
        <w:rPr>
          <w:rFonts w:hint="eastAsia" w:ascii="Times New Roman" w:hAnsi="Times New Roman"/>
          <w:bCs/>
          <w:szCs w:val="32"/>
          <w:lang w:val="en-US" w:eastAsia="zh-CN"/>
        </w:rPr>
        <w:t>5.</w:t>
      </w:r>
      <w:r>
        <w:rPr>
          <w:rFonts w:hint="eastAsia" w:ascii="Times New Roman" w:hAnsi="Times New Roman"/>
          <w:bCs/>
          <w:szCs w:val="32"/>
        </w:rPr>
        <w:t>投标报价包含税金、油费、交通住宿费、文件资料打印费等完成本项目所发生的一切应有费用</w:t>
      </w:r>
      <w:r>
        <w:rPr>
          <w:rFonts w:hint="eastAsia" w:ascii="Times New Roman" w:hAnsi="Times New Roman"/>
          <w:bCs/>
          <w:szCs w:val="32"/>
          <w:lang w:eastAsia="zh-CN"/>
        </w:rPr>
        <w:t>，</w:t>
      </w:r>
      <w:r>
        <w:rPr>
          <w:rFonts w:hint="eastAsia" w:ascii="Times New Roman" w:hAnsi="Times New Roman"/>
          <w:bCs/>
          <w:szCs w:val="32"/>
        </w:rPr>
        <w:t>结算时</w:t>
      </w:r>
      <w:r>
        <w:rPr>
          <w:rFonts w:hint="eastAsia" w:ascii="Times New Roman" w:hAnsi="Times New Roman"/>
          <w:bCs/>
          <w:szCs w:val="32"/>
          <w:lang w:eastAsia="zh-CN"/>
        </w:rPr>
        <w:t>免费</w:t>
      </w:r>
      <w:r>
        <w:rPr>
          <w:rFonts w:hint="eastAsia" w:ascii="Times New Roman" w:hAnsi="Times New Roman"/>
          <w:bCs/>
          <w:szCs w:val="32"/>
        </w:rPr>
        <w:t>提供增值税专用发票。</w:t>
      </w:r>
    </w:p>
    <w:p>
      <w:pPr>
        <w:pStyle w:val="2"/>
        <w:rPr>
          <w:rFonts w:hint="eastAsia" w:ascii="Times New Roman" w:hAnsi="Times New Roman" w:eastAsia="Calibri" w:cs="Calibri"/>
          <w:bCs/>
          <w:color w:val="000000"/>
          <w:kern w:val="2"/>
          <w:sz w:val="24"/>
          <w:szCs w:val="32"/>
          <w:lang w:val="en-US" w:eastAsia="zh-CN" w:bidi="ar-SA"/>
        </w:rPr>
      </w:pPr>
      <w:r>
        <w:rPr>
          <w:rFonts w:hint="eastAsia" w:ascii="Times New Roman" w:hAnsi="Times New Roman" w:eastAsia="Calibri" w:cs="Calibri"/>
          <w:bCs/>
          <w:color w:val="000000"/>
          <w:kern w:val="2"/>
          <w:sz w:val="24"/>
          <w:szCs w:val="32"/>
          <w:lang w:val="en-US" w:eastAsia="zh-CN" w:bidi="ar-SA"/>
        </w:rPr>
        <w:t>附：营业执照复印件（加盖公章）</w:t>
      </w:r>
    </w:p>
    <w:p>
      <w:pPr>
        <w:adjustRightInd w:val="0"/>
        <w:snapToGrid w:val="0"/>
        <w:spacing w:before="48" w:beforeLines="20" w:after="48" w:afterLines="20" w:line="400" w:lineRule="exact"/>
        <w:ind w:firstLine="420" w:firstLineChars="175"/>
        <w:rPr>
          <w:rFonts w:hint="eastAsia" w:ascii="Times New Roman" w:hAnsi="Times New Roman"/>
          <w:bCs/>
          <w:szCs w:val="21"/>
        </w:rPr>
      </w:pPr>
    </w:p>
    <w:p>
      <w:pPr>
        <w:adjustRightInd w:val="0"/>
        <w:snapToGrid w:val="0"/>
        <w:spacing w:before="48" w:beforeLines="20" w:after="48" w:afterLines="20" w:line="400" w:lineRule="exact"/>
        <w:ind w:firstLine="480" w:firstLineChars="200"/>
        <w:rPr>
          <w:rFonts w:hint="eastAsia" w:ascii="Times New Roman" w:hAnsi="Times New Roman"/>
          <w:bCs/>
          <w:szCs w:val="21"/>
          <w:u w:val="single"/>
        </w:rPr>
      </w:pPr>
      <w:r>
        <w:rPr>
          <w:rFonts w:hint="eastAsia" w:ascii="Times New Roman" w:hAnsi="Times New Roman"/>
          <w:bCs/>
          <w:szCs w:val="21"/>
        </w:rPr>
        <w:t>投 标 人：</w:t>
      </w:r>
      <w:r>
        <w:rPr>
          <w:rFonts w:hint="eastAsia" w:ascii="Times New Roman" w:hAnsi="Times New Roman"/>
          <w:bCs/>
          <w:szCs w:val="21"/>
          <w:u w:val="single"/>
        </w:rPr>
        <w:t xml:space="preserve">                                             </w:t>
      </w:r>
      <w:r>
        <w:rPr>
          <w:rFonts w:hint="eastAsia" w:ascii="Times New Roman" w:hAnsi="Times New Roman"/>
          <w:bCs/>
          <w:szCs w:val="21"/>
        </w:rPr>
        <w:t>（盖单位章）</w:t>
      </w:r>
    </w:p>
    <w:p>
      <w:pPr>
        <w:adjustRightInd w:val="0"/>
        <w:snapToGrid w:val="0"/>
        <w:spacing w:before="48" w:beforeLines="20" w:after="48" w:afterLines="20" w:line="400" w:lineRule="exact"/>
        <w:ind w:firstLine="480" w:firstLineChars="200"/>
        <w:rPr>
          <w:rFonts w:hint="eastAsia" w:ascii="Times New Roman" w:hAnsi="Times New Roman"/>
          <w:szCs w:val="21"/>
          <w:u w:val="single"/>
        </w:rPr>
      </w:pPr>
      <w:r>
        <w:rPr>
          <w:rFonts w:hint="eastAsia" w:ascii="Times New Roman" w:hAnsi="Times New Roman"/>
          <w:szCs w:val="21"/>
        </w:rPr>
        <w:t>法定代表人（单位负责人）：</w:t>
      </w:r>
      <w:r>
        <w:rPr>
          <w:rFonts w:hint="eastAsia" w:ascii="Times New Roman" w:hAnsi="Times New Roman"/>
          <w:szCs w:val="21"/>
          <w:u w:val="single"/>
        </w:rPr>
        <w:t xml:space="preserve">                           </w:t>
      </w:r>
      <w:r>
        <w:rPr>
          <w:rFonts w:hint="eastAsia" w:ascii="Times New Roman" w:hAnsi="Times New Roman"/>
          <w:szCs w:val="21"/>
        </w:rPr>
        <w:t>（签字或盖章）</w:t>
      </w:r>
    </w:p>
    <w:p>
      <w:pPr>
        <w:adjustRightInd w:val="0"/>
        <w:snapToGrid w:val="0"/>
        <w:spacing w:before="48" w:beforeLines="20" w:after="48" w:afterLines="20" w:line="400" w:lineRule="exact"/>
        <w:ind w:left="125" w:leftChars="52" w:firstLine="600" w:firstLineChars="250"/>
        <w:rPr>
          <w:rFonts w:hint="eastAsia" w:ascii="Times New Roman" w:hAnsi="Times New Roman"/>
          <w:szCs w:val="21"/>
          <w:u w:val="single"/>
        </w:rPr>
      </w:pPr>
      <w:r>
        <w:rPr>
          <w:rFonts w:hint="eastAsia" w:ascii="Times New Roman" w:hAnsi="Times New Roman"/>
          <w:szCs w:val="21"/>
        </w:rPr>
        <w:t>单位地址：</w:t>
      </w:r>
      <w:r>
        <w:rPr>
          <w:rFonts w:hint="eastAsia" w:ascii="Times New Roman" w:hAnsi="Times New Roman"/>
          <w:szCs w:val="21"/>
          <w:u w:val="single"/>
        </w:rPr>
        <w:t xml:space="preserve">                                                       </w:t>
      </w:r>
    </w:p>
    <w:p>
      <w:pPr>
        <w:adjustRightInd w:val="0"/>
        <w:snapToGrid w:val="0"/>
        <w:spacing w:before="48" w:beforeLines="20" w:after="48" w:afterLines="20" w:line="400" w:lineRule="exact"/>
        <w:ind w:firstLine="480" w:firstLineChars="200"/>
        <w:rPr>
          <w:rFonts w:hint="eastAsia" w:ascii="Times New Roman" w:hAnsi="Times New Roman"/>
          <w:szCs w:val="21"/>
        </w:rPr>
      </w:pPr>
      <w:r>
        <w:rPr>
          <w:rFonts w:hint="eastAsia" w:ascii="Times New Roman" w:hAnsi="Times New Roman"/>
          <w:szCs w:val="21"/>
        </w:rPr>
        <w:t>邮政编码：</w:t>
      </w:r>
      <w:r>
        <w:rPr>
          <w:rFonts w:hint="eastAsia" w:ascii="Times New Roman" w:hAnsi="Times New Roman"/>
          <w:bCs/>
          <w:szCs w:val="32"/>
          <w:u w:val="single"/>
        </w:rPr>
        <w:t xml:space="preserve">           </w:t>
      </w:r>
      <w:r>
        <w:rPr>
          <w:rFonts w:hint="eastAsia" w:ascii="Times New Roman" w:hAnsi="Times New Roman"/>
          <w:szCs w:val="21"/>
        </w:rPr>
        <w:t>电话：</w:t>
      </w:r>
      <w:r>
        <w:rPr>
          <w:rFonts w:hint="eastAsia" w:ascii="Times New Roman" w:hAnsi="Times New Roman"/>
          <w:bCs/>
          <w:szCs w:val="32"/>
          <w:u w:val="single"/>
        </w:rPr>
        <w:t xml:space="preserve">           </w:t>
      </w:r>
      <w:r>
        <w:rPr>
          <w:rFonts w:hint="eastAsia" w:ascii="Times New Roman" w:hAnsi="Times New Roman"/>
          <w:szCs w:val="21"/>
        </w:rPr>
        <w:t xml:space="preserve"> 传真：</w:t>
      </w:r>
      <w:r>
        <w:rPr>
          <w:rFonts w:hint="eastAsia" w:ascii="Times New Roman" w:hAnsi="Times New Roman"/>
          <w:szCs w:val="21"/>
          <w:u w:val="single"/>
        </w:rPr>
        <w:t xml:space="preserve">                    </w:t>
      </w:r>
      <w:r>
        <w:rPr>
          <w:rFonts w:hint="eastAsia" w:ascii="Times New Roman" w:hAnsi="Times New Roman"/>
          <w:szCs w:val="21"/>
        </w:rPr>
        <w:t xml:space="preserve"> </w:t>
      </w:r>
    </w:p>
    <w:p>
      <w:pPr>
        <w:adjustRightInd w:val="0"/>
        <w:snapToGrid w:val="0"/>
        <w:spacing w:before="48" w:beforeLines="20" w:after="48" w:afterLines="20" w:line="400" w:lineRule="exact"/>
        <w:ind w:firstLine="480" w:firstLineChars="200"/>
        <w:rPr>
          <w:rFonts w:hint="eastAsia" w:ascii="Times New Roman" w:hAnsi="Times New Roman"/>
        </w:rPr>
      </w:pPr>
      <w:r>
        <w:rPr>
          <w:rFonts w:hint="eastAsia" w:ascii="Times New Roman" w:hAnsi="Times New Roman"/>
          <w:szCs w:val="21"/>
        </w:rPr>
        <w:t>日期：</w:t>
      </w:r>
      <w:r>
        <w:rPr>
          <w:rFonts w:ascii="Times New Roman" w:hAnsi="Times New Roman"/>
          <w:szCs w:val="21"/>
          <w:u w:val="single"/>
        </w:rPr>
        <w:t xml:space="preserve">       </w:t>
      </w:r>
      <w:r>
        <w:rPr>
          <w:rFonts w:hint="eastAsia" w:ascii="Times New Roman" w:hAnsi="Times New Roman"/>
          <w:szCs w:val="21"/>
        </w:rPr>
        <w:t>年</w:t>
      </w:r>
      <w:r>
        <w:rPr>
          <w:rFonts w:ascii="Times New Roman" w:hAnsi="Times New Roman"/>
          <w:szCs w:val="21"/>
          <w:u w:val="single"/>
        </w:rPr>
        <w:t xml:space="preserve">       </w:t>
      </w:r>
      <w:r>
        <w:rPr>
          <w:rFonts w:hint="eastAsia" w:ascii="Times New Roman" w:hAnsi="Times New Roman"/>
          <w:szCs w:val="21"/>
        </w:rPr>
        <w:t>月</w:t>
      </w:r>
      <w:r>
        <w:rPr>
          <w:rFonts w:ascii="Times New Roman" w:hAnsi="Times New Roman"/>
          <w:szCs w:val="21"/>
          <w:u w:val="single"/>
        </w:rPr>
        <w:t xml:space="preserve">       </w:t>
      </w:r>
      <w:r>
        <w:rPr>
          <w:rFonts w:hint="eastAsia" w:ascii="Times New Roman" w:hAnsi="Times New Roman"/>
          <w:szCs w:val="21"/>
        </w:rPr>
        <w:t>日</w:t>
      </w:r>
    </w:p>
    <w:p>
      <w:pPr>
        <w:pStyle w:val="5"/>
        <w:ind w:firstLine="137"/>
        <w:jc w:val="center"/>
        <w:rPr>
          <w:rFonts w:hint="eastAsia" w:ascii="Times New Roman" w:hAnsi="Times New Roman"/>
          <w:bCs/>
          <w:sz w:val="24"/>
          <w:szCs w:val="24"/>
        </w:rPr>
      </w:pPr>
    </w:p>
    <w:p>
      <w:pPr>
        <w:rPr>
          <w:rFonts w:hint="eastAsia" w:ascii="Times New Roman" w:hAnsi="Times New Roman"/>
          <w:bCs/>
          <w:sz w:val="24"/>
          <w:szCs w:val="24"/>
        </w:rPr>
      </w:pPr>
    </w:p>
    <w:p>
      <w:pPr>
        <w:pStyle w:val="2"/>
        <w:rPr>
          <w:rFonts w:hint="eastAsia" w:ascii="Times New Roman" w:hAnsi="Times New Roman"/>
          <w:bCs/>
          <w:sz w:val="24"/>
          <w:szCs w:val="24"/>
        </w:rPr>
      </w:pPr>
    </w:p>
    <w:p>
      <w:pPr>
        <w:pStyle w:val="5"/>
        <w:ind w:left="0" w:leftChars="0" w:firstLine="0" w:firstLineChars="0"/>
        <w:jc w:val="center"/>
        <w:rPr>
          <w:rFonts w:hint="eastAsia" w:ascii="Times New Roman" w:hAnsi="Times New Roman"/>
          <w:bCs/>
          <w:sz w:val="36"/>
          <w:szCs w:val="36"/>
          <w:lang w:eastAsia="zh-CN"/>
        </w:rPr>
      </w:pPr>
    </w:p>
    <w:p>
      <w:pPr>
        <w:rPr>
          <w:rFonts w:hint="eastAsia"/>
          <w:lang w:eastAsia="zh-CN"/>
        </w:rPr>
      </w:pPr>
    </w:p>
    <w:p>
      <w:pPr>
        <w:pStyle w:val="5"/>
        <w:ind w:left="0" w:leftChars="0" w:firstLine="0" w:firstLineChars="0"/>
        <w:jc w:val="center"/>
        <w:rPr>
          <w:rFonts w:hint="eastAsia" w:ascii="Times New Roman" w:hAnsi="Times New Roman"/>
          <w:bCs/>
          <w:sz w:val="36"/>
          <w:szCs w:val="36"/>
          <w:lang w:eastAsia="zh-CN"/>
        </w:rPr>
      </w:pPr>
      <w:r>
        <w:rPr>
          <w:rFonts w:hint="eastAsia" w:ascii="Times New Roman" w:hAnsi="Times New Roman"/>
          <w:bCs/>
          <w:sz w:val="36"/>
          <w:szCs w:val="36"/>
          <w:lang w:eastAsia="zh-CN"/>
        </w:rPr>
        <w:t>二、</w:t>
      </w:r>
      <w:r>
        <w:rPr>
          <w:rFonts w:hint="eastAsia" w:ascii="Times New Roman" w:hAnsi="Times New Roman"/>
          <w:bCs/>
          <w:sz w:val="36"/>
          <w:szCs w:val="36"/>
        </w:rPr>
        <w:t>投标</w:t>
      </w:r>
      <w:bookmarkStart w:id="315" w:name="_Toc6931"/>
      <w:bookmarkStart w:id="316" w:name="_Toc369531692"/>
      <w:bookmarkStart w:id="317" w:name="_Toc352691656"/>
      <w:r>
        <w:rPr>
          <w:rFonts w:hint="eastAsia" w:ascii="Times New Roman" w:hAnsi="Times New Roman"/>
          <w:bCs/>
          <w:sz w:val="36"/>
          <w:szCs w:val="36"/>
          <w:lang w:eastAsia="zh-CN"/>
        </w:rPr>
        <w:t>响应</w:t>
      </w:r>
      <w:r>
        <w:rPr>
          <w:rFonts w:hint="eastAsia" w:ascii="Times New Roman" w:hAnsi="Times New Roman"/>
          <w:bCs/>
          <w:sz w:val="36"/>
          <w:szCs w:val="36"/>
        </w:rPr>
        <w:t>函</w:t>
      </w:r>
      <w:r>
        <w:rPr>
          <w:rFonts w:hint="eastAsia" w:ascii="Times New Roman" w:hAnsi="Times New Roman"/>
          <w:bCs/>
          <w:sz w:val="36"/>
          <w:szCs w:val="36"/>
          <w:lang w:eastAsia="zh-CN"/>
        </w:rPr>
        <w:t>（固定格式）</w:t>
      </w:r>
    </w:p>
    <w:bookmarkEnd w:id="315"/>
    <w:bookmarkEnd w:id="316"/>
    <w:bookmarkEnd w:id="317"/>
    <w:p>
      <w:pPr>
        <w:adjustRightInd w:val="0"/>
        <w:snapToGrid w:val="0"/>
        <w:spacing w:before="48" w:beforeLines="20" w:after="48" w:afterLines="20" w:line="400" w:lineRule="exact"/>
        <w:rPr>
          <w:rFonts w:ascii="宋体" w:hAnsi="宋体"/>
          <w:color w:val="auto"/>
          <w:szCs w:val="21"/>
        </w:rPr>
      </w:pPr>
      <w:r>
        <w:rPr>
          <w:rFonts w:ascii="宋体" w:hAnsi="宋体"/>
          <w:u w:val="single"/>
        </w:rPr>
        <w:t xml:space="preserve">____    </w:t>
      </w:r>
      <w:r>
        <w:rPr>
          <w:rFonts w:hint="eastAsia" w:ascii="宋体" w:hAnsi="宋体"/>
          <w:snapToGrid w:val="0"/>
          <w:color w:val="000000"/>
          <w:kern w:val="0"/>
          <w:szCs w:val="21"/>
        </w:rPr>
        <w:t>（招标人名称）：</w:t>
      </w:r>
    </w:p>
    <w:p>
      <w:pPr>
        <w:spacing w:line="440" w:lineRule="exact"/>
        <w:ind w:firstLine="405"/>
        <w:rPr>
          <w:rFonts w:ascii="宋体" w:hAnsi="宋体"/>
          <w:color w:val="auto"/>
        </w:rPr>
      </w:pPr>
      <w:bookmarkStart w:id="318" w:name="_Hlk12788694"/>
      <w:r>
        <w:rPr>
          <w:rFonts w:hint="eastAsia" w:ascii="宋体" w:hAnsi="宋体"/>
          <w:color w:val="auto"/>
          <w:szCs w:val="21"/>
        </w:rPr>
        <w:t>1．</w:t>
      </w:r>
      <w:r>
        <w:rPr>
          <w:rFonts w:hint="eastAsia" w:ascii="宋体" w:hAnsi="宋体"/>
          <w:color w:val="auto"/>
        </w:rPr>
        <w:t>我方已仔细研究</w:t>
      </w:r>
      <w:r>
        <w:rPr>
          <w:rFonts w:ascii="宋体" w:hAnsi="宋体"/>
          <w:color w:val="auto"/>
          <w:u w:val="single"/>
        </w:rPr>
        <w:t>_____</w:t>
      </w:r>
      <w:r>
        <w:rPr>
          <w:rFonts w:hint="eastAsia" w:ascii="宋体" w:hAnsi="宋体" w:eastAsia="宋体"/>
          <w:color w:val="auto"/>
          <w:u w:val="single"/>
          <w:lang w:val="en-US" w:eastAsia="zh-CN"/>
        </w:rPr>
        <w:t xml:space="preserve">  </w:t>
      </w:r>
      <w:r>
        <w:rPr>
          <w:rFonts w:ascii="宋体" w:hAnsi="宋体"/>
          <w:color w:val="auto"/>
          <w:u w:val="single"/>
        </w:rPr>
        <w:t>_</w:t>
      </w:r>
      <w:r>
        <w:rPr>
          <w:rFonts w:hint="eastAsia" w:ascii="宋体" w:hAnsi="宋体" w:eastAsia="宋体"/>
          <w:color w:val="auto"/>
          <w:u w:val="single"/>
          <w:lang w:val="en-US" w:eastAsia="zh-CN"/>
        </w:rPr>
        <w:t xml:space="preserve">   </w:t>
      </w:r>
      <w:r>
        <w:rPr>
          <w:rFonts w:ascii="宋体" w:hAnsi="宋体"/>
          <w:color w:val="auto"/>
          <w:u w:val="single"/>
        </w:rPr>
        <w:t>_</w:t>
      </w:r>
      <w:r>
        <w:rPr>
          <w:rFonts w:hint="eastAsia" w:ascii="宋体" w:hAnsi="宋体"/>
          <w:color w:val="auto"/>
        </w:rPr>
        <w:t>（项目名称）招标文件的全部内容，愿以</w:t>
      </w:r>
      <w:r>
        <w:rPr>
          <w:rFonts w:hint="eastAsia" w:ascii="宋体" w:hAnsi="宋体"/>
          <w:color w:val="auto"/>
          <w:u w:val="single"/>
        </w:rPr>
        <w:t xml:space="preserve"> </w:t>
      </w:r>
      <w:r>
        <w:rPr>
          <w:rFonts w:hint="eastAsia" w:ascii="宋体" w:hAnsi="宋体"/>
          <w:color w:val="auto"/>
          <w:szCs w:val="21"/>
          <w:u w:val="single"/>
        </w:rPr>
        <w:t xml:space="preserve">报价文件投标函中 </w:t>
      </w:r>
      <w:r>
        <w:rPr>
          <w:rFonts w:hint="eastAsia" w:ascii="宋体" w:hAnsi="宋体"/>
          <w:color w:val="auto"/>
          <w:u w:val="single"/>
        </w:rPr>
        <w:t>的</w:t>
      </w:r>
      <w:r>
        <w:rPr>
          <w:rFonts w:hint="eastAsia" w:ascii="宋体" w:hAnsi="宋体"/>
          <w:color w:val="auto"/>
        </w:rPr>
        <w:t>投标报价，并承诺按本招标文件、合同条款的条件、承担</w:t>
      </w:r>
      <w:r>
        <w:rPr>
          <w:rFonts w:hint="eastAsia" w:ascii="宋体" w:hAnsi="宋体" w:eastAsia="宋体"/>
          <w:color w:val="auto"/>
          <w:lang w:eastAsia="zh-CN"/>
        </w:rPr>
        <w:t>法律</w:t>
      </w:r>
      <w:r>
        <w:rPr>
          <w:rFonts w:hint="eastAsia" w:ascii="宋体" w:hAnsi="宋体"/>
          <w:color w:val="auto"/>
        </w:rPr>
        <w:t>服务。</w:t>
      </w:r>
    </w:p>
    <w:p>
      <w:pPr>
        <w:tabs>
          <w:tab w:val="left" w:pos="7560"/>
        </w:tabs>
        <w:adjustRightInd w:val="0"/>
        <w:snapToGrid w:val="0"/>
        <w:spacing w:before="48" w:beforeLines="20" w:after="48" w:afterLines="20" w:line="400" w:lineRule="exact"/>
        <w:ind w:firstLine="480" w:firstLineChars="200"/>
        <w:jc w:val="left"/>
        <w:rPr>
          <w:rFonts w:ascii="宋体" w:hAnsi="宋体"/>
        </w:rPr>
      </w:pPr>
      <w:r>
        <w:rPr>
          <w:rFonts w:ascii="宋体" w:hAnsi="宋体"/>
        </w:rPr>
        <w:t>2.我方承诺在招标文件规定的投标有效期内不撤销投标文件。</w:t>
      </w:r>
    </w:p>
    <w:p>
      <w:pPr>
        <w:tabs>
          <w:tab w:val="left" w:pos="7560"/>
        </w:tabs>
        <w:adjustRightInd w:val="0"/>
        <w:snapToGrid w:val="0"/>
        <w:spacing w:before="48" w:beforeLines="20" w:after="48" w:afterLines="20" w:line="400" w:lineRule="exact"/>
        <w:ind w:firstLine="480" w:firstLineChars="200"/>
        <w:jc w:val="left"/>
        <w:rPr>
          <w:rFonts w:hint="eastAsia" w:ascii="宋体" w:hAnsi="宋体" w:eastAsia="宋体"/>
          <w:lang w:eastAsia="zh-CN"/>
        </w:rPr>
      </w:pPr>
      <w:r>
        <w:rPr>
          <w:rFonts w:ascii="宋体" w:hAnsi="宋体"/>
        </w:rPr>
        <w:t>3.</w:t>
      </w:r>
      <w:r>
        <w:rPr>
          <w:rFonts w:hint="eastAsia" w:ascii="宋体" w:hAnsi="宋体" w:eastAsia="宋体"/>
          <w:lang w:eastAsia="zh-CN"/>
        </w:rPr>
        <w:t>服务</w:t>
      </w:r>
      <w:r>
        <w:rPr>
          <w:rFonts w:hint="eastAsia" w:ascii="宋体" w:hAnsi="宋体"/>
        </w:rPr>
        <w:t>标准</w:t>
      </w:r>
      <w:r>
        <w:rPr>
          <w:rFonts w:hint="eastAsia" w:ascii="宋体" w:hAnsi="宋体" w:eastAsia="宋体"/>
          <w:lang w:eastAsia="zh-CN"/>
        </w:rPr>
        <w:t>和坐班要求</w:t>
      </w:r>
      <w:r>
        <w:rPr>
          <w:rFonts w:hint="eastAsia" w:ascii="宋体" w:hAnsi="宋体"/>
        </w:rPr>
        <w:t>：</w:t>
      </w:r>
      <w:r>
        <w:rPr>
          <w:rFonts w:hint="eastAsia" w:ascii="宋体" w:hAnsi="宋体"/>
          <w:u w:val="single"/>
        </w:rPr>
        <w:t>响应招标文件要求</w:t>
      </w:r>
      <w:r>
        <w:rPr>
          <w:rFonts w:hint="eastAsia" w:ascii="宋体" w:hAnsi="宋体"/>
        </w:rPr>
        <w:t>；</w:t>
      </w:r>
      <w:r>
        <w:rPr>
          <w:rFonts w:hint="eastAsia" w:ascii="宋体" w:hAnsi="宋体"/>
          <w:szCs w:val="21"/>
        </w:rPr>
        <w:t>服务期限</w:t>
      </w:r>
      <w:r>
        <w:rPr>
          <w:rFonts w:hint="eastAsia" w:ascii="宋体" w:hAnsi="宋体"/>
        </w:rPr>
        <w:t>：</w:t>
      </w:r>
      <w:r>
        <w:rPr>
          <w:rFonts w:hint="eastAsia" w:ascii="宋体" w:hAnsi="宋体"/>
          <w:u w:val="single"/>
        </w:rPr>
        <w:t>响应招标文件要求</w:t>
      </w:r>
      <w:r>
        <w:rPr>
          <w:rFonts w:hint="eastAsia" w:ascii="宋体" w:hAnsi="宋体"/>
        </w:rPr>
        <w:t>。</w:t>
      </w:r>
      <w:r>
        <w:rPr>
          <w:rFonts w:hint="eastAsia" w:ascii="宋体" w:hAnsi="宋体" w:eastAsia="宋体"/>
          <w:lang w:eastAsia="zh-CN"/>
        </w:rPr>
        <w:t>（详见第五章采购需求）。</w:t>
      </w:r>
    </w:p>
    <w:p>
      <w:pPr>
        <w:spacing w:line="440" w:lineRule="exact"/>
        <w:ind w:firstLine="480" w:firstLineChars="200"/>
        <w:rPr>
          <w:rFonts w:ascii="宋体" w:hAnsi="宋体"/>
          <w:szCs w:val="21"/>
        </w:rPr>
      </w:pPr>
      <w:r>
        <w:rPr>
          <w:rFonts w:ascii="宋体" w:hAnsi="宋体"/>
          <w:bCs/>
          <w:szCs w:val="32"/>
        </w:rPr>
        <w:t xml:space="preserve">4. </w:t>
      </w:r>
      <w:r>
        <w:rPr>
          <w:rFonts w:hint="eastAsia" w:ascii="宋体" w:hAnsi="宋体"/>
          <w:szCs w:val="21"/>
        </w:rPr>
        <w:t>如我方中标，我方承诺：</w:t>
      </w:r>
    </w:p>
    <w:p>
      <w:pPr>
        <w:spacing w:line="400" w:lineRule="exact"/>
        <w:ind w:firstLine="405"/>
        <w:rPr>
          <w:rFonts w:ascii="宋体" w:hAnsi="宋体"/>
          <w:bCs/>
          <w:szCs w:val="32"/>
        </w:rPr>
      </w:pPr>
      <w:r>
        <w:rPr>
          <w:rFonts w:hint="eastAsia" w:ascii="宋体" w:hAnsi="宋体"/>
          <w:bCs/>
          <w:szCs w:val="32"/>
        </w:rPr>
        <w:t>（</w:t>
      </w:r>
      <w:r>
        <w:rPr>
          <w:rFonts w:ascii="宋体" w:hAnsi="宋体"/>
          <w:bCs/>
          <w:szCs w:val="32"/>
        </w:rPr>
        <w:t>1）在收到中标通知书后，</w:t>
      </w:r>
      <w:r>
        <w:rPr>
          <w:rFonts w:hint="eastAsia" w:ascii="宋体" w:hAnsi="宋体"/>
          <w:bCs/>
          <w:szCs w:val="32"/>
        </w:rPr>
        <w:t>在中标通知书规定的期限内与你方签订合同；</w:t>
      </w:r>
    </w:p>
    <w:p>
      <w:pPr>
        <w:adjustRightInd w:val="0"/>
        <w:snapToGrid w:val="0"/>
        <w:spacing w:before="48" w:beforeLines="20" w:after="48" w:afterLines="20" w:line="400" w:lineRule="exact"/>
        <w:ind w:firstLine="420" w:firstLineChars="175"/>
        <w:rPr>
          <w:rFonts w:ascii="宋体" w:hAnsi="宋体"/>
          <w:bCs/>
          <w:szCs w:val="32"/>
        </w:rPr>
      </w:pPr>
      <w:r>
        <w:rPr>
          <w:rFonts w:hint="eastAsia" w:ascii="宋体" w:hAnsi="宋体"/>
          <w:bCs/>
          <w:szCs w:val="32"/>
        </w:rPr>
        <w:t>（</w:t>
      </w:r>
      <w:r>
        <w:rPr>
          <w:rFonts w:ascii="宋体" w:hAnsi="宋体"/>
          <w:bCs/>
          <w:szCs w:val="32"/>
        </w:rPr>
        <w:t>2）在签订合同时不向你方提出附加条件；</w:t>
      </w:r>
    </w:p>
    <w:p>
      <w:pPr>
        <w:adjustRightInd w:val="0"/>
        <w:snapToGrid w:val="0"/>
        <w:spacing w:before="48" w:beforeLines="20" w:after="48" w:afterLines="20" w:line="400" w:lineRule="exact"/>
        <w:ind w:firstLine="420" w:firstLineChars="175"/>
        <w:rPr>
          <w:rFonts w:ascii="宋体" w:hAnsi="宋体"/>
          <w:bCs/>
          <w:szCs w:val="32"/>
        </w:rPr>
      </w:pPr>
      <w:r>
        <w:rPr>
          <w:rFonts w:hint="eastAsia" w:ascii="宋体" w:hAnsi="宋体"/>
          <w:bCs/>
          <w:szCs w:val="32"/>
        </w:rPr>
        <w:t>（</w:t>
      </w:r>
      <w:r>
        <w:rPr>
          <w:rFonts w:ascii="宋体" w:hAnsi="宋体"/>
          <w:bCs/>
          <w:szCs w:val="32"/>
        </w:rPr>
        <w:t>3）按照招标文件要求提交履约保证金；</w:t>
      </w:r>
    </w:p>
    <w:p>
      <w:pPr>
        <w:adjustRightInd w:val="0"/>
        <w:snapToGrid w:val="0"/>
        <w:spacing w:before="48" w:beforeLines="20" w:after="48" w:afterLines="20" w:line="400" w:lineRule="exact"/>
        <w:ind w:firstLine="420" w:firstLineChars="175"/>
        <w:rPr>
          <w:rFonts w:ascii="宋体" w:hAnsi="宋体"/>
          <w:bCs/>
          <w:szCs w:val="32"/>
        </w:rPr>
      </w:pPr>
      <w:r>
        <w:rPr>
          <w:rFonts w:hint="eastAsia" w:ascii="宋体" w:hAnsi="宋体"/>
          <w:bCs/>
          <w:szCs w:val="32"/>
        </w:rPr>
        <w:t>（</w:t>
      </w:r>
      <w:r>
        <w:rPr>
          <w:rFonts w:ascii="宋体" w:hAnsi="宋体"/>
          <w:bCs/>
          <w:szCs w:val="32"/>
        </w:rPr>
        <w:t>4）在合同约定的期限内完成合同规定的全部义务；</w:t>
      </w:r>
    </w:p>
    <w:p>
      <w:pPr>
        <w:adjustRightInd w:val="0"/>
        <w:snapToGrid w:val="0"/>
        <w:spacing w:before="48" w:beforeLines="20" w:after="48" w:afterLines="20" w:line="400" w:lineRule="exact"/>
        <w:ind w:firstLine="420" w:firstLineChars="175"/>
        <w:rPr>
          <w:rFonts w:ascii="宋体" w:hAnsi="宋体"/>
          <w:color w:val="000000"/>
          <w:szCs w:val="21"/>
        </w:rPr>
      </w:pPr>
      <w:r>
        <w:rPr>
          <w:rFonts w:hint="eastAsia" w:ascii="宋体" w:hAnsi="宋体"/>
          <w:bCs/>
          <w:szCs w:val="32"/>
        </w:rPr>
        <w:t>（</w:t>
      </w:r>
      <w:r>
        <w:rPr>
          <w:rFonts w:ascii="宋体" w:hAnsi="宋体"/>
          <w:bCs/>
          <w:szCs w:val="32"/>
        </w:rPr>
        <w:t>5）在你方和我方进行合同谈判之前，我方将按照</w:t>
      </w:r>
      <w:r>
        <w:rPr>
          <w:rFonts w:hint="eastAsia" w:ascii="宋体" w:hAnsi="宋体" w:eastAsia="宋体"/>
          <w:bCs/>
          <w:szCs w:val="32"/>
          <w:lang w:eastAsia="zh-CN"/>
        </w:rPr>
        <w:t>招标文件、</w:t>
      </w:r>
      <w:r>
        <w:rPr>
          <w:rFonts w:ascii="宋体" w:hAnsi="宋体"/>
          <w:bCs/>
          <w:szCs w:val="32"/>
        </w:rPr>
        <w:t>合同提出的最低要求</w:t>
      </w:r>
      <w:r>
        <w:rPr>
          <w:rFonts w:hint="eastAsia" w:ascii="宋体" w:hAnsi="宋体" w:eastAsia="宋体"/>
          <w:bCs/>
          <w:szCs w:val="32"/>
          <w:lang w:eastAsia="zh-CN"/>
        </w:rPr>
        <w:t>提供三名服务律师</w:t>
      </w:r>
      <w:r>
        <w:rPr>
          <w:rFonts w:hint="eastAsia" w:ascii="宋体" w:hAnsi="宋体"/>
          <w:bCs/>
          <w:szCs w:val="32"/>
        </w:rPr>
        <w:t>，</w:t>
      </w:r>
      <w:r>
        <w:rPr>
          <w:rFonts w:hint="eastAsia" w:ascii="宋体" w:hAnsi="宋体" w:eastAsia="宋体"/>
          <w:bCs/>
          <w:szCs w:val="32"/>
          <w:lang w:val="en-US" w:eastAsia="zh-CN"/>
        </w:rPr>
        <w:t>包含一名律所合伙人或负责人，</w:t>
      </w:r>
      <w:r>
        <w:rPr>
          <w:rFonts w:hint="eastAsia" w:ascii="宋体" w:hAnsi="宋体"/>
          <w:bCs/>
          <w:szCs w:val="32"/>
        </w:rPr>
        <w:t>经你方审批后作为</w:t>
      </w:r>
      <w:r>
        <w:rPr>
          <w:rFonts w:hint="eastAsia" w:ascii="宋体" w:hAnsi="宋体" w:eastAsia="宋体"/>
          <w:bCs/>
          <w:szCs w:val="32"/>
          <w:lang w:eastAsia="zh-CN"/>
        </w:rPr>
        <w:t>本项目服务人员</w:t>
      </w:r>
      <w:r>
        <w:rPr>
          <w:rFonts w:hint="eastAsia" w:ascii="宋体" w:hAnsi="宋体"/>
          <w:bCs/>
          <w:szCs w:val="32"/>
        </w:rPr>
        <w:t>且不进行更换。如我方拟派驻的人员</w:t>
      </w:r>
      <w:r>
        <w:rPr>
          <w:rFonts w:hint="eastAsia" w:ascii="宋体" w:hAnsi="宋体" w:eastAsia="宋体"/>
          <w:bCs/>
          <w:szCs w:val="32"/>
          <w:lang w:eastAsia="zh-CN"/>
        </w:rPr>
        <w:t>和服务等</w:t>
      </w:r>
      <w:r>
        <w:rPr>
          <w:rFonts w:hint="eastAsia" w:ascii="宋体" w:hAnsi="宋体"/>
          <w:bCs/>
          <w:szCs w:val="32"/>
        </w:rPr>
        <w:t>不满足</w:t>
      </w:r>
      <w:r>
        <w:rPr>
          <w:rFonts w:hint="eastAsia" w:ascii="宋体" w:hAnsi="宋体" w:eastAsia="宋体"/>
          <w:bCs/>
          <w:szCs w:val="32"/>
          <w:lang w:eastAsia="zh-CN"/>
        </w:rPr>
        <w:t>招标文件、</w:t>
      </w:r>
      <w:r>
        <w:rPr>
          <w:rFonts w:hint="eastAsia" w:ascii="宋体" w:hAnsi="宋体"/>
          <w:bCs/>
          <w:szCs w:val="32"/>
        </w:rPr>
        <w:t>合同要求，你方有权取消我方中标资格；</w:t>
      </w:r>
    </w:p>
    <w:p>
      <w:pPr>
        <w:adjustRightInd w:val="0"/>
        <w:snapToGrid w:val="0"/>
        <w:spacing w:before="48" w:beforeLines="20" w:after="48" w:afterLines="20" w:line="400" w:lineRule="exact"/>
        <w:ind w:firstLine="420" w:firstLineChars="175"/>
        <w:rPr>
          <w:rFonts w:ascii="宋体" w:hAnsi="宋体"/>
          <w:bCs/>
          <w:szCs w:val="32"/>
        </w:rPr>
      </w:pPr>
      <w:bookmarkStart w:id="319" w:name="_Toc352691658"/>
      <w:bookmarkStart w:id="320" w:name="_Toc1187"/>
      <w:bookmarkStart w:id="321" w:name="_Toc369531694"/>
      <w:r>
        <w:rPr>
          <w:rFonts w:ascii="宋体" w:hAnsi="宋体"/>
          <w:bCs/>
          <w:szCs w:val="32"/>
        </w:rPr>
        <w:t>6.</w:t>
      </w:r>
      <w:r>
        <w:rPr>
          <w:rFonts w:hint="eastAsia" w:ascii="宋体" w:hAnsi="宋体"/>
          <w:snapToGrid w:val="0"/>
          <w:kern w:val="0"/>
          <w:szCs w:val="21"/>
        </w:rPr>
        <w:t>我方在此声明，所递交的投标文件及有关资料内容完整、真</w:t>
      </w:r>
      <w:r>
        <w:rPr>
          <w:rFonts w:hint="eastAsia" w:ascii="宋体" w:hAnsi="宋体"/>
          <w:bCs/>
          <w:szCs w:val="32"/>
        </w:rPr>
        <w:t>实和准确，符合资格审查条件</w:t>
      </w:r>
      <w:r>
        <w:rPr>
          <w:rFonts w:ascii="宋体" w:hAnsi="宋体"/>
          <w:bCs/>
          <w:szCs w:val="32"/>
        </w:rPr>
        <w:t>(</w:t>
      </w:r>
      <w:r>
        <w:rPr>
          <w:rFonts w:hint="eastAsia" w:ascii="宋体" w:hAnsi="宋体"/>
          <w:bCs/>
          <w:szCs w:val="32"/>
        </w:rPr>
        <w:t>信誉最低要求</w:t>
      </w:r>
      <w:r>
        <w:rPr>
          <w:rFonts w:ascii="宋体" w:hAnsi="宋体"/>
          <w:bCs/>
          <w:szCs w:val="32"/>
        </w:rPr>
        <w:t>)</w:t>
      </w:r>
      <w:r>
        <w:rPr>
          <w:rFonts w:hint="eastAsia" w:ascii="宋体" w:hAnsi="宋体"/>
          <w:bCs/>
          <w:szCs w:val="32"/>
        </w:rPr>
        <w:t>，且不存在招标文件第二章“投标人须知”第1.4.3项和第1.4.4项规</w:t>
      </w:r>
      <w:r>
        <w:rPr>
          <w:rFonts w:hint="eastAsia" w:ascii="宋体" w:hAnsi="宋体"/>
          <w:snapToGrid w:val="0"/>
          <w:kern w:val="0"/>
          <w:szCs w:val="21"/>
        </w:rPr>
        <w:t>定的任何一种情形。</w:t>
      </w:r>
    </w:p>
    <w:p>
      <w:pPr>
        <w:adjustRightInd w:val="0"/>
        <w:snapToGrid w:val="0"/>
        <w:spacing w:before="48" w:beforeLines="20" w:after="48" w:afterLines="20" w:line="400" w:lineRule="exact"/>
        <w:ind w:firstLine="420" w:firstLineChars="175"/>
        <w:rPr>
          <w:rFonts w:ascii="宋体" w:hAnsi="宋体"/>
          <w:bCs/>
          <w:szCs w:val="32"/>
        </w:rPr>
      </w:pPr>
      <w:r>
        <w:rPr>
          <w:rFonts w:ascii="宋体" w:hAnsi="宋体"/>
          <w:bCs/>
          <w:szCs w:val="32"/>
        </w:rPr>
        <w:t xml:space="preserve">7. </w:t>
      </w:r>
      <w:r>
        <w:rPr>
          <w:rFonts w:hint="eastAsia" w:ascii="宋体" w:hAnsi="宋体"/>
          <w:bCs/>
          <w:szCs w:val="32"/>
        </w:rPr>
        <w:t>除非另外达成协议并生效，你方的中标通知书和本投标文件以及招标文件、招标文件澄清、修改、补充文件将成为约束双方的合同文件的组成部分。</w:t>
      </w:r>
    </w:p>
    <w:p>
      <w:pPr>
        <w:adjustRightInd w:val="0"/>
        <w:snapToGrid w:val="0"/>
        <w:spacing w:before="48" w:beforeLines="20" w:after="48" w:afterLines="20" w:line="400" w:lineRule="exact"/>
        <w:ind w:firstLine="420" w:firstLineChars="175"/>
        <w:rPr>
          <w:rFonts w:ascii="宋体" w:hAnsi="宋体"/>
          <w:bCs/>
          <w:sz w:val="28"/>
          <w:szCs w:val="32"/>
        </w:rPr>
      </w:pPr>
      <w:r>
        <w:rPr>
          <w:rFonts w:ascii="宋体" w:hAnsi="宋体"/>
          <w:bCs/>
          <w:szCs w:val="32"/>
        </w:rPr>
        <w:t xml:space="preserve">8. </w:t>
      </w:r>
      <w:r>
        <w:rPr>
          <w:rFonts w:hint="eastAsia" w:ascii="宋体" w:hAnsi="宋体"/>
          <w:snapToGrid w:val="0"/>
          <w:kern w:val="0"/>
          <w:szCs w:val="21"/>
        </w:rPr>
        <w:t>（其他补充说明）。</w:t>
      </w:r>
      <w:bookmarkEnd w:id="319"/>
      <w:bookmarkEnd w:id="320"/>
      <w:bookmarkEnd w:id="321"/>
    </w:p>
    <w:p>
      <w:pPr>
        <w:adjustRightInd w:val="0"/>
        <w:snapToGrid w:val="0"/>
        <w:spacing w:before="48" w:beforeLines="20" w:after="48" w:afterLines="20" w:line="400" w:lineRule="exact"/>
        <w:ind w:firstLine="420" w:firstLineChars="175"/>
        <w:rPr>
          <w:rFonts w:ascii="宋体" w:hAnsi="宋体"/>
          <w:bCs/>
          <w:szCs w:val="21"/>
          <w:u w:val="single"/>
        </w:rPr>
      </w:pPr>
      <w:r>
        <w:rPr>
          <w:rFonts w:hint="eastAsia" w:ascii="宋体" w:hAnsi="宋体"/>
          <w:bCs/>
          <w:szCs w:val="21"/>
        </w:rPr>
        <w:t>投</w:t>
      </w:r>
      <w:r>
        <w:rPr>
          <w:rFonts w:ascii="宋体" w:hAnsi="宋体"/>
          <w:bCs/>
          <w:szCs w:val="21"/>
        </w:rPr>
        <w:t xml:space="preserve"> </w:t>
      </w:r>
      <w:r>
        <w:rPr>
          <w:rFonts w:hint="eastAsia" w:ascii="宋体" w:hAnsi="宋体"/>
          <w:bCs/>
          <w:szCs w:val="21"/>
        </w:rPr>
        <w:t>标</w:t>
      </w:r>
      <w:r>
        <w:rPr>
          <w:rFonts w:ascii="宋体" w:hAnsi="宋体"/>
          <w:bCs/>
          <w:szCs w:val="21"/>
        </w:rPr>
        <w:t xml:space="preserve"> </w:t>
      </w:r>
      <w:r>
        <w:rPr>
          <w:rFonts w:hint="eastAsia" w:ascii="宋体" w:hAnsi="宋体"/>
          <w:bCs/>
          <w:szCs w:val="21"/>
        </w:rPr>
        <w:t>人：</w:t>
      </w:r>
      <w:r>
        <w:rPr>
          <w:rFonts w:ascii="宋体" w:hAnsi="宋体"/>
          <w:bCs/>
          <w:szCs w:val="21"/>
          <w:u w:val="single"/>
        </w:rPr>
        <w:t xml:space="preserve">                                             </w:t>
      </w:r>
      <w:r>
        <w:rPr>
          <w:rFonts w:hint="eastAsia" w:ascii="宋体" w:hAnsi="宋体"/>
          <w:bCs/>
          <w:szCs w:val="21"/>
        </w:rPr>
        <w:t>（盖单位章）</w:t>
      </w:r>
    </w:p>
    <w:p>
      <w:pPr>
        <w:tabs>
          <w:tab w:val="left" w:pos="7839"/>
        </w:tabs>
        <w:adjustRightInd w:val="0"/>
        <w:snapToGrid w:val="0"/>
        <w:spacing w:before="48" w:beforeLines="20" w:after="48" w:afterLines="20" w:line="400" w:lineRule="exact"/>
        <w:ind w:firstLine="420" w:firstLineChars="175"/>
        <w:rPr>
          <w:rFonts w:ascii="宋体" w:hAnsi="宋体"/>
          <w:szCs w:val="21"/>
          <w:u w:val="single"/>
        </w:rPr>
      </w:pPr>
      <w:r>
        <w:rPr>
          <w:rFonts w:hint="eastAsia" w:ascii="宋体" w:hAnsi="宋体"/>
          <w:bCs/>
          <w:szCs w:val="32"/>
        </w:rPr>
        <w:t>法定代表人：</w:t>
      </w:r>
      <w:r>
        <w:rPr>
          <w:rFonts w:ascii="宋体" w:hAnsi="宋体"/>
          <w:color w:val="0070C0"/>
          <w:szCs w:val="21"/>
          <w:u w:val="single"/>
        </w:rPr>
        <w:t xml:space="preserve">  </w:t>
      </w:r>
      <w:r>
        <w:rPr>
          <w:rFonts w:ascii="宋体" w:hAnsi="宋体"/>
          <w:szCs w:val="21"/>
          <w:u w:val="single"/>
        </w:rPr>
        <w:t xml:space="preserve">                                       </w:t>
      </w:r>
      <w:r>
        <w:rPr>
          <w:rFonts w:hint="eastAsia" w:ascii="宋体" w:hAnsi="宋体"/>
          <w:szCs w:val="21"/>
        </w:rPr>
        <w:t>（签字或盖章）</w:t>
      </w:r>
    </w:p>
    <w:p>
      <w:pPr>
        <w:adjustRightInd w:val="0"/>
        <w:snapToGrid w:val="0"/>
        <w:spacing w:before="48" w:beforeLines="20" w:after="48" w:afterLines="20" w:line="400" w:lineRule="exact"/>
        <w:ind w:firstLine="420" w:firstLineChars="175"/>
        <w:rPr>
          <w:rFonts w:ascii="宋体" w:hAnsi="宋体"/>
          <w:szCs w:val="21"/>
          <w:u w:val="single"/>
        </w:rPr>
      </w:pPr>
      <w:r>
        <w:rPr>
          <w:rFonts w:hint="eastAsia" w:ascii="宋体" w:hAnsi="宋体"/>
          <w:szCs w:val="21"/>
        </w:rPr>
        <w:t>单位地址：</w:t>
      </w:r>
      <w:r>
        <w:rPr>
          <w:rFonts w:hint="eastAsia" w:ascii="宋体" w:hAnsi="宋体"/>
          <w:szCs w:val="21"/>
          <w:u w:val="single"/>
        </w:rPr>
        <w:t xml:space="preserve">                                                       </w:t>
      </w:r>
    </w:p>
    <w:p>
      <w:pPr>
        <w:adjustRightInd w:val="0"/>
        <w:snapToGrid w:val="0"/>
        <w:spacing w:before="48" w:beforeLines="20" w:after="48" w:afterLines="20" w:line="400" w:lineRule="exact"/>
        <w:ind w:firstLine="420" w:firstLineChars="175"/>
        <w:rPr>
          <w:rFonts w:hint="eastAsia" w:ascii="宋体" w:hAnsi="宋体"/>
          <w:szCs w:val="21"/>
          <w:u w:val="single"/>
        </w:rPr>
      </w:pPr>
      <w:r>
        <w:rPr>
          <w:rFonts w:hint="eastAsia" w:ascii="宋体" w:hAnsi="宋体"/>
          <w:bCs/>
          <w:szCs w:val="21"/>
        </w:rPr>
        <w:t>邮政编码</w:t>
      </w:r>
      <w:r>
        <w:rPr>
          <w:rFonts w:hint="eastAsia" w:ascii="宋体" w:hAnsi="宋体"/>
          <w:szCs w:val="21"/>
        </w:rPr>
        <w:t>：</w:t>
      </w:r>
      <w:r>
        <w:rPr>
          <w:rFonts w:hint="eastAsia" w:ascii="宋体" w:hAnsi="宋体"/>
          <w:bCs/>
          <w:szCs w:val="32"/>
          <w:u w:val="single"/>
        </w:rPr>
        <w:t xml:space="preserve">           </w:t>
      </w:r>
      <w:r>
        <w:rPr>
          <w:rFonts w:hint="eastAsia" w:ascii="宋体" w:hAnsi="宋体"/>
          <w:szCs w:val="21"/>
        </w:rPr>
        <w:t>电话：</w:t>
      </w:r>
      <w:r>
        <w:rPr>
          <w:rFonts w:hint="eastAsia" w:ascii="宋体" w:hAnsi="宋体"/>
          <w:bCs/>
          <w:szCs w:val="32"/>
          <w:u w:val="single"/>
        </w:rPr>
        <w:t xml:space="preserve">           </w:t>
      </w:r>
      <w:r>
        <w:rPr>
          <w:rFonts w:hint="eastAsia" w:ascii="宋体" w:hAnsi="宋体"/>
          <w:szCs w:val="21"/>
        </w:rPr>
        <w:t xml:space="preserve"> 传真：</w:t>
      </w:r>
      <w:r>
        <w:rPr>
          <w:rFonts w:hint="eastAsia" w:ascii="宋体" w:hAnsi="宋体"/>
          <w:szCs w:val="21"/>
          <w:u w:val="single"/>
        </w:rPr>
        <w:t xml:space="preserve">                    </w:t>
      </w:r>
    </w:p>
    <w:p>
      <w:pPr>
        <w:adjustRightInd w:val="0"/>
        <w:snapToGrid w:val="0"/>
        <w:spacing w:before="48" w:beforeLines="20" w:after="48" w:afterLines="20" w:line="400" w:lineRule="exact"/>
        <w:ind w:firstLine="420" w:firstLineChars="175"/>
        <w:rPr>
          <w:rFonts w:ascii="宋体" w:hAnsi="宋体"/>
          <w:szCs w:val="21"/>
        </w:rPr>
      </w:pPr>
      <w:r>
        <w:rPr>
          <w:rFonts w:hint="eastAsia" w:ascii="Times New Roman" w:hAnsi="Times New Roman"/>
          <w:szCs w:val="21"/>
        </w:rPr>
        <w:t>投标人基本账户开户名：</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rPr>
        <w:t>账号：</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开户行：</w:t>
      </w:r>
      <w:r>
        <w:rPr>
          <w:rFonts w:ascii="Times New Roman" w:hAnsi="Times New Roman"/>
          <w:szCs w:val="21"/>
          <w:u w:val="single"/>
        </w:rPr>
        <w:t xml:space="preserve">          </w:t>
      </w:r>
    </w:p>
    <w:p>
      <w:pPr>
        <w:adjustRightInd w:val="0"/>
        <w:snapToGrid w:val="0"/>
        <w:spacing w:before="48" w:beforeLines="20" w:after="48" w:afterLines="20" w:line="400" w:lineRule="exact"/>
        <w:ind w:firstLine="420" w:firstLineChars="175"/>
        <w:rPr>
          <w:rFonts w:ascii="宋体" w:hAnsi="宋体"/>
          <w:szCs w:val="21"/>
        </w:rPr>
      </w:pPr>
      <w:r>
        <w:rPr>
          <w:rFonts w:hint="eastAsia" w:ascii="宋体" w:hAnsi="宋体"/>
          <w:bCs/>
          <w:szCs w:val="21"/>
        </w:rPr>
        <w:t>日期</w:t>
      </w:r>
      <w:r>
        <w:rPr>
          <w:rFonts w:hint="eastAsia" w:ascii="宋体" w:hAnsi="宋体"/>
          <w:szCs w:val="21"/>
        </w:rPr>
        <w:t>：</w:t>
      </w:r>
      <w:r>
        <w:rPr>
          <w:rFonts w:ascii="宋体" w:hAnsi="宋体"/>
          <w:szCs w:val="21"/>
        </w:rPr>
        <w:t>____</w:t>
      </w:r>
      <w:r>
        <w:rPr>
          <w:rFonts w:ascii="宋体" w:hAnsi="宋体"/>
          <w:szCs w:val="21"/>
          <w:u w:val="single"/>
        </w:rPr>
        <w:t xml:space="preserve">    </w:t>
      </w:r>
      <w:r>
        <w:rPr>
          <w:rFonts w:ascii="宋体" w:hAnsi="宋体"/>
          <w:szCs w:val="21"/>
        </w:rPr>
        <w:t>_</w:t>
      </w:r>
      <w:r>
        <w:rPr>
          <w:rFonts w:hint="eastAsia" w:ascii="宋体" w:hAnsi="宋体"/>
          <w:szCs w:val="21"/>
        </w:rPr>
        <w:t>年</w:t>
      </w:r>
      <w:r>
        <w:rPr>
          <w:rFonts w:ascii="宋体" w:hAnsi="宋体"/>
          <w:szCs w:val="21"/>
          <w:u w:val="single"/>
        </w:rPr>
        <w:t>_       _</w:t>
      </w:r>
      <w:r>
        <w:rPr>
          <w:rFonts w:hint="eastAsia" w:ascii="宋体" w:hAnsi="宋体"/>
          <w:szCs w:val="21"/>
        </w:rPr>
        <w:t>月</w:t>
      </w:r>
      <w:r>
        <w:rPr>
          <w:rFonts w:ascii="宋体" w:hAnsi="宋体"/>
          <w:szCs w:val="21"/>
          <w:u w:val="single"/>
        </w:rPr>
        <w:t>_    _</w:t>
      </w:r>
      <w:r>
        <w:rPr>
          <w:rFonts w:ascii="宋体" w:hAnsi="宋体"/>
          <w:szCs w:val="21"/>
        </w:rPr>
        <w:t>__</w:t>
      </w:r>
      <w:r>
        <w:rPr>
          <w:rFonts w:hint="eastAsia" w:ascii="宋体" w:hAnsi="宋体"/>
          <w:szCs w:val="21"/>
        </w:rPr>
        <w:t>日</w:t>
      </w:r>
    </w:p>
    <w:p>
      <w:pPr>
        <w:spacing w:line="440" w:lineRule="exact"/>
        <w:rPr>
          <w:rFonts w:ascii="宋体" w:hAnsi="宋体"/>
          <w:szCs w:val="21"/>
        </w:rPr>
      </w:pPr>
      <w:bookmarkStart w:id="322" w:name="_Toc369531695"/>
      <w:bookmarkEnd w:id="322"/>
      <w:bookmarkStart w:id="323" w:name="_Toc16824"/>
      <w:bookmarkEnd w:id="323"/>
      <w:bookmarkStart w:id="324" w:name="_Toc352691660"/>
      <w:bookmarkEnd w:id="324"/>
      <w:bookmarkStart w:id="325" w:name="_Toc16568"/>
      <w:bookmarkEnd w:id="325"/>
      <w:bookmarkStart w:id="326" w:name="_Toc369531696"/>
      <w:bookmarkEnd w:id="326"/>
      <w:bookmarkStart w:id="327" w:name="_Toc352691659"/>
      <w:bookmarkEnd w:id="327"/>
    </w:p>
    <w:p>
      <w:pPr>
        <w:pStyle w:val="2"/>
        <w:rPr>
          <w:rFonts w:ascii="宋体" w:hAnsi="宋体"/>
          <w:szCs w:val="21"/>
        </w:rPr>
      </w:pPr>
    </w:p>
    <w:p>
      <w:pPr>
        <w:pStyle w:val="2"/>
        <w:rPr>
          <w:rFonts w:ascii="宋体" w:hAnsi="宋体"/>
          <w:szCs w:val="21"/>
        </w:rPr>
      </w:pPr>
    </w:p>
    <w:p>
      <w:pPr>
        <w:pStyle w:val="2"/>
        <w:rPr>
          <w:rFonts w:ascii="宋体" w:hAnsi="宋体"/>
          <w:szCs w:val="21"/>
        </w:rPr>
      </w:pPr>
    </w:p>
    <w:bookmarkEnd w:id="318"/>
    <w:p>
      <w:pPr>
        <w:pStyle w:val="5"/>
        <w:ind w:left="0" w:leftChars="0" w:firstLine="0" w:firstLineChars="0"/>
        <w:jc w:val="center"/>
        <w:rPr>
          <w:rFonts w:hint="eastAsia" w:ascii="Times New Roman" w:hAnsi="Times New Roman"/>
          <w:bCs/>
          <w:sz w:val="36"/>
          <w:szCs w:val="36"/>
          <w:lang w:eastAsia="zh-CN"/>
        </w:rPr>
      </w:pPr>
      <w:bookmarkStart w:id="328" w:name="_Toc535241084"/>
      <w:bookmarkStart w:id="329" w:name="_Toc535241227"/>
      <w:bookmarkStart w:id="330" w:name="_Toc535241130"/>
      <w:bookmarkStart w:id="331" w:name="_Toc224103498"/>
      <w:bookmarkStart w:id="332" w:name="_Toc224103497"/>
      <w:r>
        <w:rPr>
          <w:rFonts w:hint="eastAsia" w:ascii="Times New Roman" w:hAnsi="Times New Roman"/>
          <w:bCs/>
          <w:sz w:val="36"/>
          <w:szCs w:val="36"/>
          <w:lang w:eastAsia="zh-CN"/>
        </w:rPr>
        <w:t>三、授权委托书</w:t>
      </w:r>
      <w:bookmarkEnd w:id="328"/>
      <w:bookmarkEnd w:id="329"/>
      <w:bookmarkEnd w:id="330"/>
      <w:r>
        <w:rPr>
          <w:rFonts w:hint="eastAsia" w:ascii="Times New Roman" w:hAnsi="Times New Roman"/>
          <w:bCs/>
          <w:sz w:val="36"/>
          <w:szCs w:val="36"/>
          <w:lang w:eastAsia="zh-CN"/>
        </w:rPr>
        <w:t>（固定格式）</w:t>
      </w:r>
    </w:p>
    <w:p>
      <w:pPr>
        <w:rPr>
          <w:rFonts w:hint="eastAsia" w:ascii="Times New Roman" w:hAnsi="Times New Roman"/>
          <w:szCs w:val="24"/>
        </w:rPr>
      </w:pPr>
    </w:p>
    <w:p>
      <w:pPr>
        <w:snapToGrid w:val="0"/>
        <w:spacing w:line="360" w:lineRule="auto"/>
        <w:ind w:firstLine="480" w:firstLineChars="200"/>
        <w:jc w:val="left"/>
        <w:rPr>
          <w:rFonts w:hint="eastAsia" w:ascii="Times New Roman" w:hAnsi="Times New Roman" w:eastAsia="宋体"/>
          <w:szCs w:val="21"/>
          <w:lang w:eastAsia="zh-CN"/>
        </w:rPr>
      </w:pPr>
      <w:r>
        <w:rPr>
          <w:rFonts w:hint="eastAsia" w:ascii="Times New Roman" w:hAnsi="Times New Roman"/>
          <w:szCs w:val="21"/>
        </w:rPr>
        <w:t>本人</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（投标人名称）的法定代表人（单位负责人），现委托</w:t>
      </w:r>
      <w:r>
        <w:rPr>
          <w:rFonts w:hint="eastAsia" w:ascii="Times New Roman" w:hAnsi="Times New Roman"/>
          <w:szCs w:val="21"/>
          <w:u w:val="single"/>
        </w:rPr>
        <w:t xml:space="preserve">      （姓名）</w:t>
      </w:r>
      <w:r>
        <w:rPr>
          <w:rFonts w:hint="eastAsia" w:ascii="Times New Roman" w:hAnsi="Times New Roman" w:eastAsia="宋体"/>
          <w:szCs w:val="21"/>
          <w:u w:val="single"/>
          <w:lang w:val="en-US" w:eastAsia="zh-CN"/>
        </w:rPr>
        <w:t xml:space="preserve">      </w:t>
      </w:r>
      <w:r>
        <w:rPr>
          <w:rFonts w:hint="eastAsia" w:ascii="Times New Roman" w:hAnsi="Times New Roman"/>
          <w:szCs w:val="21"/>
        </w:rPr>
        <w:t>为我方代理人。代理人根据授权，以我方名义签署、澄清、说明、补正、递交、撤回、修改</w:t>
      </w:r>
      <w:r>
        <w:rPr>
          <w:rFonts w:hint="eastAsia" w:ascii="Times New Roman" w:hAnsi="Times New Roman"/>
          <w:szCs w:val="21"/>
          <w:u w:val="single"/>
        </w:rPr>
        <w:t xml:space="preserve">    </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（招标项目名称）项目投标文件、签订合同和处理有关事宜，</w:t>
      </w:r>
      <w:r>
        <w:rPr>
          <w:rFonts w:hint="eastAsia" w:ascii="Times New Roman" w:hAnsi="Times New Roman" w:eastAsia="宋体"/>
          <w:szCs w:val="21"/>
          <w:lang w:eastAsia="zh-CN"/>
        </w:rPr>
        <w:t>本公司均予以认可并对此承担责任。</w:t>
      </w:r>
    </w:p>
    <w:p>
      <w:pPr>
        <w:snapToGrid w:val="0"/>
        <w:spacing w:line="360" w:lineRule="auto"/>
        <w:ind w:firstLine="480" w:firstLineChars="200"/>
        <w:rPr>
          <w:rFonts w:hint="eastAsia" w:ascii="Times New Roman" w:hAnsi="Times New Roman"/>
          <w:szCs w:val="21"/>
        </w:rPr>
      </w:pPr>
      <w:r>
        <w:rPr>
          <w:rFonts w:hint="eastAsia" w:ascii="Times New Roman" w:hAnsi="Times New Roman"/>
          <w:szCs w:val="21"/>
        </w:rPr>
        <w:t>委托期限：</w:t>
      </w:r>
      <w:r>
        <w:rPr>
          <w:rFonts w:hint="eastAsia" w:ascii="Times New Roman" w:hAnsi="Times New Roman"/>
          <w:szCs w:val="21"/>
          <w:u w:val="single"/>
        </w:rPr>
        <w:t xml:space="preserve">    </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w:t>
      </w:r>
    </w:p>
    <w:p>
      <w:pPr>
        <w:snapToGrid w:val="0"/>
        <w:spacing w:line="360" w:lineRule="auto"/>
        <w:ind w:firstLine="480" w:firstLineChars="200"/>
        <w:rPr>
          <w:rFonts w:hint="eastAsia" w:ascii="Times New Roman" w:hAnsi="Times New Roman" w:eastAsia="Calibri" w:cs="Calibri"/>
          <w:color w:val="000000"/>
          <w:kern w:val="2"/>
          <w:sz w:val="24"/>
          <w:szCs w:val="21"/>
          <w:lang w:val="en-US" w:eastAsia="zh-CN" w:bidi="ar-SA"/>
        </w:rPr>
      </w:pPr>
      <w:r>
        <w:rPr>
          <w:rFonts w:hint="eastAsia" w:ascii="Times New Roman" w:hAnsi="Times New Roman" w:eastAsia="Calibri" w:cs="Calibri"/>
          <w:color w:val="000000"/>
          <w:kern w:val="2"/>
          <w:sz w:val="24"/>
          <w:szCs w:val="21"/>
          <w:lang w:val="en-US" w:eastAsia="zh-CN" w:bidi="ar-SA"/>
        </w:rPr>
        <w:t>授权人联系方式：</w:t>
      </w:r>
      <w:r>
        <w:rPr>
          <w:rFonts w:hint="eastAsia" w:ascii="Times New Roman" w:hAnsi="Times New Roman"/>
          <w:szCs w:val="21"/>
          <w:u w:val="single"/>
        </w:rPr>
        <w:t xml:space="preserve">    </w:t>
      </w:r>
      <w:r>
        <w:rPr>
          <w:rFonts w:hint="eastAsia" w:ascii="Times New Roman" w:hAnsi="Times New Roman" w:eastAsia="宋体"/>
          <w:szCs w:val="21"/>
          <w:u w:val="single"/>
          <w:lang w:val="en-US" w:eastAsia="zh-CN"/>
        </w:rPr>
        <w:t xml:space="preserve">       </w:t>
      </w:r>
      <w:r>
        <w:rPr>
          <w:rFonts w:hint="eastAsia" w:ascii="Times New Roman" w:hAnsi="Times New Roman"/>
          <w:szCs w:val="21"/>
          <w:u w:val="single"/>
        </w:rPr>
        <w:t xml:space="preserve">      </w:t>
      </w:r>
      <w:r>
        <w:rPr>
          <w:rFonts w:hint="eastAsia" w:ascii="Times New Roman" w:hAnsi="Times New Roman"/>
          <w:szCs w:val="21"/>
        </w:rPr>
        <w:t>。</w:t>
      </w:r>
    </w:p>
    <w:p>
      <w:pPr>
        <w:snapToGrid w:val="0"/>
        <w:spacing w:line="360" w:lineRule="auto"/>
        <w:ind w:firstLine="480" w:firstLineChars="200"/>
        <w:rPr>
          <w:rFonts w:hint="eastAsia" w:ascii="Times New Roman" w:hAnsi="Times New Roman"/>
          <w:szCs w:val="21"/>
        </w:rPr>
      </w:pPr>
      <w:r>
        <w:rPr>
          <w:rFonts w:hint="eastAsia" w:ascii="Times New Roman" w:hAnsi="Times New Roman"/>
          <w:szCs w:val="21"/>
        </w:rPr>
        <w:t>代理人无转委托权。</w:t>
      </w:r>
    </w:p>
    <w:p>
      <w:pPr>
        <w:snapToGrid w:val="0"/>
        <w:spacing w:line="360" w:lineRule="auto"/>
        <w:ind w:firstLine="480" w:firstLineChars="200"/>
        <w:rPr>
          <w:rFonts w:hint="eastAsia" w:ascii="Times New Roman" w:hAnsi="Times New Roman" w:eastAsia="宋体"/>
          <w:szCs w:val="21"/>
          <w:lang w:eastAsia="zh-CN"/>
        </w:rPr>
      </w:pPr>
      <w:r>
        <w:rPr>
          <w:rFonts w:hint="eastAsia" w:ascii="Times New Roman" w:hAnsi="Times New Roman"/>
          <w:szCs w:val="21"/>
        </w:rPr>
        <w:t>附：法定代表人（单位负责人）身份证明</w:t>
      </w:r>
      <w:r>
        <w:rPr>
          <w:rFonts w:hint="eastAsia" w:ascii="Times New Roman" w:hAnsi="Times New Roman" w:eastAsia="宋体"/>
          <w:szCs w:val="21"/>
          <w:lang w:eastAsia="zh-CN"/>
        </w:rPr>
        <w:t>，委托人身份证明</w:t>
      </w:r>
    </w:p>
    <w:p>
      <w:pPr>
        <w:spacing w:line="500" w:lineRule="exact"/>
        <w:rPr>
          <w:rFonts w:hint="eastAsia" w:ascii="Times New Roman" w:hAnsi="Times New Roman"/>
          <w:szCs w:val="21"/>
        </w:rPr>
      </w:pPr>
    </w:p>
    <w:p>
      <w:pPr>
        <w:spacing w:line="400" w:lineRule="exact"/>
        <w:ind w:firstLine="4080" w:firstLineChars="1700"/>
        <w:rPr>
          <w:rFonts w:hint="eastAsia" w:ascii="Times New Roman" w:hAnsi="Times New Roman"/>
          <w:szCs w:val="21"/>
        </w:rPr>
      </w:pPr>
      <w:r>
        <w:rPr>
          <w:rFonts w:hint="eastAsia" w:ascii="Times New Roman" w:hAnsi="Times New Roman"/>
          <w:szCs w:val="21"/>
        </w:rPr>
        <w:t>投  标  人：</w:t>
      </w:r>
      <w:r>
        <w:rPr>
          <w:rFonts w:hint="eastAsia" w:ascii="Times New Roman" w:hAnsi="Times New Roman"/>
          <w:szCs w:val="21"/>
          <w:u w:val="single"/>
        </w:rPr>
        <w:t xml:space="preserve">                         </w:t>
      </w:r>
      <w:r>
        <w:rPr>
          <w:rFonts w:hint="eastAsia" w:ascii="Times New Roman" w:hAnsi="Times New Roman"/>
          <w:szCs w:val="21"/>
        </w:rPr>
        <w:t>（盖单位章）</w:t>
      </w:r>
    </w:p>
    <w:p>
      <w:pPr>
        <w:spacing w:line="400" w:lineRule="exact"/>
        <w:ind w:firstLine="4080" w:firstLineChars="1700"/>
        <w:rPr>
          <w:rFonts w:hint="eastAsia" w:ascii="Times New Roman" w:hAnsi="Times New Roman"/>
          <w:szCs w:val="21"/>
        </w:rPr>
      </w:pPr>
      <w:r>
        <w:rPr>
          <w:rFonts w:hint="eastAsia" w:ascii="Times New Roman" w:hAnsi="Times New Roman"/>
          <w:szCs w:val="21"/>
        </w:rPr>
        <w:t>法定代表人（单位负责人）：</w:t>
      </w:r>
      <w:r>
        <w:rPr>
          <w:rFonts w:hint="eastAsia" w:ascii="Times New Roman" w:hAnsi="Times New Roman"/>
          <w:szCs w:val="21"/>
          <w:u w:val="single"/>
        </w:rPr>
        <w:t xml:space="preserve">          </w:t>
      </w:r>
      <w:r>
        <w:rPr>
          <w:rFonts w:hint="eastAsia" w:ascii="Times New Roman" w:hAnsi="Times New Roman"/>
          <w:szCs w:val="21"/>
        </w:rPr>
        <w:t>（签字或盖章）</w:t>
      </w:r>
    </w:p>
    <w:p>
      <w:pPr>
        <w:spacing w:line="400" w:lineRule="exact"/>
        <w:ind w:firstLine="4080" w:firstLineChars="1700"/>
        <w:rPr>
          <w:rFonts w:hint="eastAsia" w:ascii="Times New Roman" w:hAnsi="Times New Roman"/>
          <w:szCs w:val="21"/>
          <w:u w:val="single"/>
        </w:rPr>
      </w:pPr>
      <w:r>
        <w:rPr>
          <w:rFonts w:hint="eastAsia" w:ascii="Times New Roman" w:hAnsi="Times New Roman"/>
          <w:szCs w:val="21"/>
        </w:rPr>
        <w:t>代理人身份证号码：</w:t>
      </w:r>
      <w:r>
        <w:rPr>
          <w:rFonts w:hint="eastAsia" w:ascii="Times New Roman" w:hAnsi="Times New Roman"/>
          <w:szCs w:val="21"/>
          <w:u w:val="single"/>
        </w:rPr>
        <w:t xml:space="preserve">                                   </w:t>
      </w:r>
    </w:p>
    <w:p>
      <w:pPr>
        <w:spacing w:line="400" w:lineRule="exact"/>
        <w:ind w:firstLine="5520" w:firstLineChars="2300"/>
        <w:jc w:val="right"/>
        <w:rPr>
          <w:rFonts w:hint="eastAsia" w:ascii="Times New Roman" w:hAnsi="Times New Roman"/>
          <w:szCs w:val="21"/>
        </w:rPr>
      </w:pP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月</w:t>
      </w:r>
      <w:r>
        <w:rPr>
          <w:rFonts w:hint="eastAsia" w:ascii="Times New Roman" w:hAnsi="Times New Roman"/>
          <w:szCs w:val="21"/>
          <w:u w:val="single"/>
        </w:rPr>
        <w:t xml:space="preserve">   </w:t>
      </w:r>
      <w:r>
        <w:rPr>
          <w:rFonts w:hint="eastAsia" w:ascii="Times New Roman" w:hAnsi="Times New Roman"/>
          <w:szCs w:val="21"/>
        </w:rPr>
        <w:t>日</w:t>
      </w:r>
    </w:p>
    <w:p>
      <w:pPr>
        <w:autoSpaceDE w:val="0"/>
        <w:autoSpaceDN w:val="0"/>
        <w:adjustRightInd w:val="0"/>
        <w:snapToGrid w:val="0"/>
        <w:spacing w:line="360" w:lineRule="auto"/>
        <w:jc w:val="left"/>
        <w:rPr>
          <w:rFonts w:hint="eastAsia" w:ascii="Times New Roman" w:hAnsi="Times New Roman"/>
          <w:kern w:val="0"/>
        </w:rPr>
      </w:pPr>
    </w:p>
    <w:p>
      <w:pPr>
        <w:tabs>
          <w:tab w:val="left" w:pos="5760"/>
        </w:tabs>
        <w:autoSpaceDE w:val="0"/>
        <w:autoSpaceDN w:val="0"/>
        <w:adjustRightInd w:val="0"/>
        <w:spacing w:line="300" w:lineRule="exact"/>
        <w:ind w:right="11"/>
        <w:rPr>
          <w:rFonts w:hint="eastAsia" w:ascii="Times New Roman" w:hAnsi="Times New Roman"/>
          <w:kern w:val="0"/>
        </w:rPr>
      </w:pPr>
      <w:r>
        <w:rPr>
          <w:rFonts w:hint="eastAsia" w:ascii="Times New Roman" w:hAnsi="Times New Roman"/>
          <w:kern w:val="0"/>
        </w:rPr>
        <w:t>注：</w:t>
      </w:r>
    </w:p>
    <w:p>
      <w:pPr>
        <w:tabs>
          <w:tab w:val="left" w:pos="5760"/>
        </w:tabs>
        <w:autoSpaceDE w:val="0"/>
        <w:autoSpaceDN w:val="0"/>
        <w:adjustRightInd w:val="0"/>
        <w:spacing w:line="300" w:lineRule="exact"/>
        <w:ind w:right="11"/>
        <w:rPr>
          <w:rFonts w:ascii="Times New Roman" w:hAnsi="Times New Roman"/>
          <w:kern w:val="0"/>
        </w:rPr>
      </w:pPr>
      <w:r>
        <w:rPr>
          <w:rFonts w:hint="eastAsia" w:ascii="Times New Roman" w:hAnsi="Times New Roman"/>
          <w:kern w:val="0"/>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31"/>
      <w:bookmarkEnd w:id="332"/>
    </w:p>
    <w:p>
      <w:pPr>
        <w:pStyle w:val="5"/>
        <w:ind w:firstLine="137"/>
        <w:jc w:val="center"/>
        <w:rPr>
          <w:rFonts w:hint="eastAsia" w:ascii="宋体" w:hAnsi="宋体"/>
          <w:kern w:val="0"/>
        </w:rPr>
      </w:pPr>
    </w:p>
    <w:p>
      <w:pPr>
        <w:tabs>
          <w:tab w:val="left" w:pos="5760"/>
        </w:tabs>
        <w:autoSpaceDE w:val="0"/>
        <w:autoSpaceDN w:val="0"/>
        <w:adjustRightInd w:val="0"/>
        <w:spacing w:line="300" w:lineRule="exact"/>
        <w:ind w:right="11"/>
        <w:rPr>
          <w:rFonts w:hint="eastAsia" w:ascii="宋体" w:hAnsi="宋体"/>
          <w:kern w:val="0"/>
        </w:rPr>
      </w:pPr>
    </w:p>
    <w:p>
      <w:pPr>
        <w:pStyle w:val="2"/>
        <w:rPr>
          <w:rFonts w:hint="eastAsia" w:ascii="宋体" w:hAnsi="宋体"/>
          <w:szCs w:val="21"/>
          <w:lang w:eastAsia="zh-CN"/>
        </w:rPr>
      </w:pPr>
    </w:p>
    <w:bookmarkEnd w:id="304"/>
    <w:bookmarkEnd w:id="305"/>
    <w:bookmarkEnd w:id="306"/>
    <w:bookmarkEnd w:id="307"/>
    <w:bookmarkEnd w:id="308"/>
    <w:bookmarkEnd w:id="309"/>
    <w:bookmarkEnd w:id="310"/>
    <w:bookmarkEnd w:id="311"/>
    <w:bookmarkEnd w:id="312"/>
    <w:bookmarkEnd w:id="313"/>
    <w:bookmarkEnd w:id="314"/>
    <w:p>
      <w:pPr>
        <w:pStyle w:val="4"/>
        <w:numPr>
          <w:ilvl w:val="0"/>
          <w:numId w:val="6"/>
        </w:numPr>
        <w:jc w:val="center"/>
        <w:rPr>
          <w:rFonts w:hint="eastAsia" w:ascii="Times New Roman" w:hAnsi="Times New Roman" w:eastAsia="黑体" w:cs="Calibri"/>
          <w:bCs/>
          <w:color w:val="000000"/>
          <w:kern w:val="2"/>
          <w:sz w:val="36"/>
          <w:szCs w:val="36"/>
          <w:lang w:val="en-US" w:eastAsia="zh-CN" w:bidi="ar-SA"/>
        </w:rPr>
      </w:pPr>
      <w:bookmarkStart w:id="333" w:name="_Toc27468829"/>
      <w:bookmarkStart w:id="334" w:name="_Toc457942827"/>
      <w:bookmarkStart w:id="335" w:name="_Toc421917009"/>
      <w:bookmarkStart w:id="336" w:name="_Toc460660230"/>
      <w:bookmarkStart w:id="337" w:name="_Toc459832202"/>
      <w:r>
        <w:rPr>
          <w:rFonts w:hint="eastAsia" w:ascii="Times New Roman" w:hAnsi="Times New Roman" w:eastAsia="黑体" w:cs="Calibri"/>
          <w:bCs/>
          <w:color w:val="000000"/>
          <w:kern w:val="2"/>
          <w:sz w:val="36"/>
          <w:szCs w:val="36"/>
          <w:lang w:val="en-US" w:eastAsia="zh-CN" w:bidi="ar-SA"/>
        </w:rPr>
        <w:t>投标人业绩和荣誉（自定格式）</w:t>
      </w:r>
    </w:p>
    <w:p>
      <w:pPr>
        <w:spacing w:line="360" w:lineRule="auto"/>
        <w:ind w:firstLine="437"/>
        <w:rPr>
          <w:rFonts w:hint="eastAsia" w:ascii="Times New Roman" w:hAnsi="Times New Roman"/>
          <w:bCs/>
          <w:color w:val="000000"/>
          <w:kern w:val="0"/>
          <w:szCs w:val="21"/>
        </w:rPr>
      </w:pPr>
      <w:r>
        <w:rPr>
          <w:rFonts w:hint="eastAsia" w:ascii="Times New Roman" w:hAnsi="Times New Roman"/>
          <w:bCs/>
          <w:color w:val="000000"/>
          <w:kern w:val="0"/>
          <w:szCs w:val="21"/>
        </w:rPr>
        <w:t>1.投标人应按下列规定提供业绩证明资料：</w:t>
      </w:r>
    </w:p>
    <w:p>
      <w:pPr>
        <w:spacing w:line="360" w:lineRule="auto"/>
        <w:ind w:firstLine="437"/>
        <w:rPr>
          <w:rFonts w:hint="eastAsia" w:ascii="Times New Roman" w:hAnsi="Times New Roman"/>
          <w:bCs/>
          <w:color w:val="000000"/>
          <w:kern w:val="0"/>
          <w:szCs w:val="21"/>
        </w:rPr>
      </w:pPr>
      <w:r>
        <w:rPr>
          <w:rFonts w:hint="eastAsia" w:ascii="Times New Roman" w:hAnsi="Times New Roman"/>
          <w:bCs/>
          <w:color w:val="000000"/>
          <w:kern w:val="0"/>
          <w:szCs w:val="21"/>
        </w:rPr>
        <w:t>（1）合同；</w:t>
      </w:r>
    </w:p>
    <w:p>
      <w:pPr>
        <w:spacing w:line="360" w:lineRule="auto"/>
        <w:ind w:firstLine="437"/>
        <w:rPr>
          <w:rFonts w:hint="eastAsia" w:ascii="Times New Roman" w:hAnsi="Times New Roman"/>
          <w:bCs/>
          <w:color w:val="000000"/>
          <w:kern w:val="0"/>
          <w:szCs w:val="21"/>
          <w:lang w:eastAsia="zh-CN"/>
        </w:rPr>
      </w:pPr>
      <w:r>
        <w:rPr>
          <w:rFonts w:hint="eastAsia" w:ascii="Times New Roman" w:hAnsi="Times New Roman"/>
          <w:bCs/>
          <w:color w:val="000000"/>
          <w:kern w:val="0"/>
          <w:szCs w:val="21"/>
          <w:lang w:eastAsia="zh-CN"/>
        </w:rPr>
        <w:t>（</w:t>
      </w:r>
      <w:r>
        <w:rPr>
          <w:rFonts w:hint="eastAsia" w:ascii="Times New Roman" w:hAnsi="Times New Roman"/>
          <w:bCs/>
          <w:color w:val="000000"/>
          <w:kern w:val="0"/>
          <w:szCs w:val="21"/>
          <w:lang w:val="en-US" w:eastAsia="zh-CN"/>
        </w:rPr>
        <w:t>2）证书、批复、颁发单位颁奖文件、网上公示截图（具有其中之一即可）</w:t>
      </w:r>
    </w:p>
    <w:p>
      <w:pPr>
        <w:spacing w:line="360" w:lineRule="auto"/>
        <w:ind w:firstLine="437"/>
        <w:rPr>
          <w:rFonts w:hint="eastAsia" w:ascii="Times New Roman" w:hAnsi="Times New Roman"/>
          <w:bCs/>
          <w:color w:val="000000"/>
          <w:kern w:val="0"/>
          <w:szCs w:val="21"/>
        </w:rPr>
      </w:pPr>
      <w:r>
        <w:rPr>
          <w:rFonts w:hint="eastAsia" w:ascii="Times New Roman" w:hAnsi="Times New Roman"/>
          <w:bCs/>
          <w:color w:val="000000"/>
          <w:kern w:val="0"/>
          <w:szCs w:val="21"/>
        </w:rPr>
        <w:t>……</w:t>
      </w:r>
    </w:p>
    <w:p>
      <w:pPr>
        <w:autoSpaceDE w:val="0"/>
        <w:autoSpaceDN w:val="0"/>
        <w:adjustRightInd w:val="0"/>
        <w:spacing w:line="360" w:lineRule="auto"/>
        <w:ind w:firstLine="600" w:firstLineChars="250"/>
        <w:jc w:val="left"/>
        <w:rPr>
          <w:rFonts w:hint="eastAsia" w:ascii="Times New Roman" w:hAnsi="Times New Roman" w:eastAsia="宋体"/>
          <w:bCs/>
          <w:color w:val="000000"/>
          <w:kern w:val="0"/>
          <w:szCs w:val="21"/>
          <w:lang w:eastAsia="zh-CN"/>
        </w:rPr>
      </w:pPr>
      <w:r>
        <w:rPr>
          <w:rFonts w:hint="eastAsia" w:ascii="Times New Roman" w:hAnsi="Times New Roman"/>
          <w:bCs/>
          <w:color w:val="000000"/>
          <w:kern w:val="0"/>
          <w:szCs w:val="21"/>
        </w:rPr>
        <w:t>2.以上涉及到的材料扫描件信息应完整或能充分反映评审因素。</w:t>
      </w:r>
      <w:r>
        <w:rPr>
          <w:rFonts w:ascii="Times New Roman" w:hAnsi="Times New Roman"/>
          <w:bCs/>
          <w:color w:val="000000"/>
          <w:kern w:val="0"/>
          <w:szCs w:val="21"/>
        </w:rPr>
        <w:t>如均未能明确反映出招标文件所要求的内容的（</w:t>
      </w:r>
      <w:r>
        <w:rPr>
          <w:rFonts w:hint="eastAsia" w:ascii="Times New Roman" w:hAnsi="Times New Roman"/>
          <w:bCs/>
          <w:color w:val="000000"/>
          <w:kern w:val="0"/>
          <w:szCs w:val="21"/>
        </w:rPr>
        <w:t>如</w:t>
      </w:r>
      <w:r>
        <w:rPr>
          <w:rFonts w:hint="eastAsia" w:ascii="Times New Roman" w:hAnsi="Times New Roman" w:eastAsia="宋体"/>
          <w:bCs/>
          <w:color w:val="000000"/>
          <w:kern w:val="0"/>
          <w:szCs w:val="21"/>
          <w:lang w:eastAsia="zh-CN"/>
        </w:rPr>
        <w:t>投标者名称、项目内容、服务单位名称、</w:t>
      </w:r>
      <w:r>
        <w:rPr>
          <w:rFonts w:hint="eastAsia" w:ascii="Times New Roman" w:hAnsi="Times New Roman"/>
          <w:bCs/>
          <w:color w:val="000000"/>
          <w:kern w:val="0"/>
          <w:szCs w:val="21"/>
        </w:rPr>
        <w:t>合同签订时间</w:t>
      </w:r>
      <w:r>
        <w:rPr>
          <w:rFonts w:hint="eastAsia" w:ascii="Times New Roman" w:hAnsi="Times New Roman" w:eastAsia="宋体"/>
          <w:bCs/>
          <w:color w:val="000000"/>
          <w:kern w:val="0"/>
          <w:szCs w:val="21"/>
          <w:lang w:eastAsia="zh-CN"/>
        </w:rPr>
        <w:t>、获奖时间、颁发单位</w:t>
      </w:r>
      <w:r>
        <w:rPr>
          <w:rFonts w:hint="eastAsia" w:ascii="Times New Roman" w:hAnsi="Times New Roman"/>
          <w:bCs/>
          <w:color w:val="000000"/>
          <w:kern w:val="0"/>
          <w:szCs w:val="21"/>
        </w:rPr>
        <w:t>等</w:t>
      </w:r>
      <w:r>
        <w:rPr>
          <w:rFonts w:ascii="Times New Roman" w:hAnsi="Times New Roman"/>
          <w:bCs/>
          <w:color w:val="000000"/>
          <w:kern w:val="0"/>
          <w:szCs w:val="21"/>
        </w:rPr>
        <w:t>），应另附证明资料予以明确说明</w:t>
      </w:r>
      <w:r>
        <w:rPr>
          <w:rFonts w:hint="eastAsia" w:ascii="Times New Roman" w:hAnsi="Times New Roman" w:eastAsia="宋体"/>
          <w:bCs/>
          <w:color w:val="000000"/>
          <w:kern w:val="0"/>
          <w:szCs w:val="21"/>
          <w:lang w:eastAsia="zh-CN"/>
        </w:rPr>
        <w:t>，若材料提供不清晰、不全等情况，后果自负。</w:t>
      </w: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hint="eastAsia" w:ascii="Times New Roman" w:hAnsi="Times New Roman"/>
          <w:bCs/>
          <w:color w:val="000000"/>
          <w:kern w:val="0"/>
          <w:szCs w:val="21"/>
        </w:rPr>
      </w:pPr>
    </w:p>
    <w:p>
      <w:pPr>
        <w:adjustRightInd w:val="0"/>
        <w:snapToGrid w:val="0"/>
        <w:spacing w:line="400" w:lineRule="exact"/>
        <w:ind w:firstLine="480" w:firstLineChars="200"/>
        <w:rPr>
          <w:rFonts w:ascii="Times New Roman" w:hAnsi="Times New Roman"/>
          <w:bCs/>
          <w:color w:val="000000"/>
          <w:kern w:val="0"/>
          <w:szCs w:val="21"/>
        </w:rPr>
      </w:pPr>
    </w:p>
    <w:p>
      <w:pPr>
        <w:pStyle w:val="4"/>
        <w:rPr>
          <w:rFonts w:ascii="宋体" w:hAnsi="宋体" w:eastAsia="宋体"/>
          <w:b w:val="0"/>
          <w:color w:val="F79646"/>
          <w:sz w:val="21"/>
          <w:szCs w:val="21"/>
        </w:rPr>
      </w:pPr>
    </w:p>
    <w:p>
      <w:pPr>
        <w:rPr>
          <w:rFonts w:hint="eastAsia"/>
        </w:rPr>
      </w:pPr>
    </w:p>
    <w:p>
      <w:pPr>
        <w:pStyle w:val="4"/>
        <w:numPr>
          <w:ilvl w:val="0"/>
          <w:numId w:val="0"/>
        </w:numPr>
        <w:ind w:leftChars="0" w:right="-15" w:rightChars="0"/>
        <w:jc w:val="center"/>
        <w:rPr>
          <w:rFonts w:hint="eastAsia" w:ascii="Times New Roman" w:hAnsi="Times New Roman" w:eastAsia="黑体" w:cs="Calibri"/>
          <w:bCs/>
          <w:color w:val="000000"/>
          <w:kern w:val="2"/>
          <w:sz w:val="36"/>
          <w:szCs w:val="36"/>
          <w:lang w:val="en-US" w:eastAsia="zh-CN" w:bidi="ar-SA"/>
        </w:rPr>
      </w:pPr>
      <w:bookmarkStart w:id="338" w:name="_Toc12462192"/>
      <w:bookmarkStart w:id="339" w:name="_Toc11078140"/>
      <w:bookmarkStart w:id="340" w:name="_Toc72221871"/>
      <w:r>
        <w:rPr>
          <w:rFonts w:hint="eastAsia" w:ascii="Times New Roman" w:hAnsi="Times New Roman" w:eastAsia="黑体" w:cs="Calibri"/>
          <w:bCs/>
          <w:color w:val="000000"/>
          <w:kern w:val="2"/>
          <w:sz w:val="36"/>
          <w:szCs w:val="36"/>
          <w:lang w:val="en-US" w:eastAsia="zh-CN" w:bidi="ar-SA"/>
        </w:rPr>
        <w:t>五、信誉要求</w:t>
      </w:r>
      <w:bookmarkEnd w:id="338"/>
      <w:bookmarkEnd w:id="339"/>
      <w:bookmarkEnd w:id="340"/>
      <w:r>
        <w:rPr>
          <w:rFonts w:hint="eastAsia" w:ascii="Times New Roman" w:hAnsi="Times New Roman" w:eastAsia="黑体" w:cs="Calibri"/>
          <w:bCs/>
          <w:color w:val="000000"/>
          <w:kern w:val="2"/>
          <w:sz w:val="36"/>
          <w:szCs w:val="36"/>
          <w:lang w:val="en-US" w:eastAsia="zh-CN" w:bidi="ar-SA"/>
        </w:rPr>
        <w:t>（自定格式）</w:t>
      </w:r>
    </w:p>
    <w:p>
      <w:pPr>
        <w:pStyle w:val="4"/>
        <w:numPr>
          <w:ilvl w:val="0"/>
          <w:numId w:val="0"/>
        </w:numPr>
        <w:ind w:leftChars="0" w:right="-15" w:rightChars="0"/>
        <w:jc w:val="center"/>
        <w:rPr>
          <w:rFonts w:hint="eastAsia" w:ascii="Times New Roman" w:hAnsi="Times New Roman" w:eastAsia="黑体" w:cs="Calibri"/>
          <w:bCs/>
          <w:color w:val="000000"/>
          <w:kern w:val="2"/>
          <w:sz w:val="24"/>
          <w:szCs w:val="24"/>
          <w:lang w:val="en-US" w:eastAsia="zh-CN" w:bidi="ar-SA"/>
        </w:rPr>
      </w:pPr>
    </w:p>
    <w:tbl>
      <w:tblPr>
        <w:tblStyle w:val="15"/>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pStyle w:val="22"/>
              <w:adjustRightInd w:val="0"/>
              <w:snapToGrid w:val="0"/>
              <w:jc w:val="center"/>
              <w:rPr>
                <w:rFonts w:ascii="宋体" w:hAnsi="宋体"/>
                <w:b/>
                <w:bCs/>
                <w:szCs w:val="21"/>
              </w:rPr>
            </w:pPr>
            <w:r>
              <w:rPr>
                <w:rFonts w:hint="eastAsia" w:ascii="宋体" w:hAnsi="宋体"/>
                <w:b/>
                <w:bCs/>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outlineLvl w:val="0"/>
              <w:rPr>
                <w:rFonts w:hint="eastAsia"/>
              </w:rPr>
            </w:pPr>
            <w:r>
              <w:rPr>
                <w:rFonts w:hint="eastAsia" w:ascii="宋体" w:hAnsi="宋体" w:cs="宋体"/>
                <w:kern w:val="0"/>
                <w:szCs w:val="21"/>
              </w:rPr>
              <w:t>投标人须符合下列情形之一：</w:t>
            </w:r>
            <w:r>
              <w:br w:type="textWrapping"/>
            </w:r>
            <w:r>
              <w:t>（1）开标日前两年内未被合肥市及其所辖县（市）公共资源交易监督管理部门记不良行为记录或记不良行为记录累计未满10分的；</w:t>
            </w:r>
            <w:r>
              <w:br w:type="textWrapping"/>
            </w:r>
            <w:r>
              <w:t>（2）最近一次被合肥市及其所辖县（市）公共资源交易监督管理部门记不良行为记录累计记分达10分（含10分）到15分且公布日距开标日超过6个月；</w:t>
            </w:r>
            <w:r>
              <w:br w:type="textWrapping"/>
            </w:r>
            <w:r>
              <w:t>（3）最近一次被合肥市及其所辖县（市）公共资源交易监督管理部门记不良行为记录累计记分达15分（含15分）到20分且公布日距开标日超过12个月；</w:t>
            </w:r>
            <w:r>
              <w:br w:type="textWrapping"/>
            </w:r>
            <w:r>
              <w:t>（4）最近一次被合肥市及其所辖县（市）公共资源交易监督管理部门记不良行为记录累计记分达20分（含20分）及以上且公布日距开标日超过24个月。</w:t>
            </w:r>
          </w:p>
        </w:tc>
      </w:tr>
    </w:tbl>
    <w:p>
      <w:pPr>
        <w:pStyle w:val="4"/>
        <w:rPr>
          <w:rFonts w:ascii="Times New Roman" w:hAnsi="Times New Roman"/>
          <w:color w:val="000000"/>
          <w:kern w:val="0"/>
          <w:szCs w:val="21"/>
        </w:rPr>
      </w:pPr>
      <w:r>
        <w:rPr>
          <w:rFonts w:ascii="Times New Roman" w:hAnsi="Times New Roman"/>
          <w:b w:val="0"/>
          <w:color w:val="000000"/>
          <w:kern w:val="0"/>
          <w:szCs w:val="21"/>
        </w:rPr>
        <w:t xml:space="preserve"> </w:t>
      </w:r>
    </w:p>
    <w:p>
      <w:pPr>
        <w:pStyle w:val="4"/>
        <w:numPr>
          <w:ilvl w:val="0"/>
          <w:numId w:val="0"/>
        </w:numPr>
        <w:ind w:leftChars="0" w:right="-15" w:rightChars="0"/>
        <w:jc w:val="center"/>
        <w:rPr>
          <w:rFonts w:hint="eastAsia" w:ascii="Times New Roman" w:hAnsi="Times New Roman" w:eastAsia="黑体" w:cs="Calibri"/>
          <w:bCs/>
          <w:color w:val="000000"/>
          <w:kern w:val="2"/>
          <w:sz w:val="36"/>
          <w:szCs w:val="36"/>
          <w:lang w:val="en-US" w:eastAsia="zh-CN" w:bidi="ar-SA"/>
        </w:rPr>
      </w:pPr>
      <w:r>
        <w:rPr>
          <w:rFonts w:ascii="Times New Roman" w:hAnsi="Times New Roman" w:eastAsia="宋体"/>
          <w:color w:val="000000"/>
          <w:szCs w:val="21"/>
        </w:rPr>
        <w:br w:type="page"/>
      </w:r>
      <w:bookmarkStart w:id="341" w:name="_Toc460226724"/>
      <w:bookmarkEnd w:id="341"/>
      <w:bookmarkStart w:id="342" w:name="_Toc421916979"/>
      <w:bookmarkEnd w:id="342"/>
      <w:bookmarkStart w:id="343" w:name="_Toc12462194"/>
      <w:bookmarkEnd w:id="343"/>
      <w:bookmarkStart w:id="344" w:name="_Toc460660066"/>
      <w:bookmarkEnd w:id="344"/>
      <w:bookmarkStart w:id="345" w:name="_Toc460226993"/>
      <w:bookmarkEnd w:id="345"/>
      <w:bookmarkStart w:id="346" w:name="_Toc11078142"/>
      <w:bookmarkEnd w:id="346"/>
      <w:r>
        <w:rPr>
          <w:rFonts w:hint="eastAsia" w:ascii="Times New Roman" w:hAnsi="Times New Roman" w:eastAsia="黑体" w:cs="Calibri"/>
          <w:bCs/>
          <w:color w:val="000000"/>
          <w:kern w:val="2"/>
          <w:sz w:val="36"/>
          <w:szCs w:val="36"/>
          <w:lang w:val="en-US" w:eastAsia="zh-CN" w:bidi="ar-SA"/>
        </w:rPr>
        <w:t>六、服务律师人员配备</w:t>
      </w:r>
      <w:bookmarkEnd w:id="333"/>
      <w:bookmarkEnd w:id="334"/>
      <w:r>
        <w:rPr>
          <w:rFonts w:hint="eastAsia" w:ascii="Times New Roman" w:hAnsi="Times New Roman" w:eastAsia="黑体" w:cs="Calibri"/>
          <w:bCs/>
          <w:color w:val="000000"/>
          <w:kern w:val="2"/>
          <w:sz w:val="36"/>
          <w:szCs w:val="36"/>
          <w:lang w:val="en-US" w:eastAsia="zh-CN" w:bidi="ar-SA"/>
        </w:rPr>
        <w:t>（自定格式）</w:t>
      </w:r>
    </w:p>
    <w:p>
      <w:pPr>
        <w:spacing w:line="360" w:lineRule="auto"/>
        <w:ind w:firstLine="480" w:firstLineChars="200"/>
        <w:jc w:val="center"/>
        <w:rPr>
          <w:rFonts w:hint="eastAsia" w:ascii="Times New Roman" w:hAnsi="Times New Roman" w:eastAsia="黑体" w:cs="Calibri"/>
          <w:bCs/>
          <w:color w:val="000000"/>
          <w:kern w:val="2"/>
          <w:sz w:val="24"/>
          <w:szCs w:val="24"/>
          <w:lang w:val="en-US" w:eastAsia="zh-CN" w:bidi="ar-SA"/>
        </w:rPr>
      </w:pPr>
    </w:p>
    <w:p>
      <w:pPr>
        <w:pStyle w:val="2"/>
        <w:rPr>
          <w:rFonts w:hint="eastAsia"/>
          <w:lang w:eastAsia="zh-CN"/>
        </w:rPr>
      </w:pPr>
    </w:p>
    <w:p>
      <w:pPr>
        <w:spacing w:line="360" w:lineRule="auto"/>
        <w:ind w:firstLine="437"/>
        <w:rPr>
          <w:rFonts w:hint="eastAsia" w:ascii="Times New Roman" w:hAnsi="Times New Roman"/>
          <w:bCs/>
          <w:color w:val="000000"/>
          <w:kern w:val="0"/>
          <w:szCs w:val="21"/>
        </w:rPr>
      </w:pPr>
      <w:r>
        <w:rPr>
          <w:rFonts w:hint="eastAsia" w:ascii="Times New Roman" w:hAnsi="Times New Roman"/>
          <w:bCs/>
          <w:color w:val="000000"/>
          <w:kern w:val="0"/>
          <w:szCs w:val="21"/>
        </w:rPr>
        <w:t>1.投标人应按下列规定提供证明资料：</w:t>
      </w:r>
    </w:p>
    <w:p>
      <w:pPr>
        <w:autoSpaceDE w:val="0"/>
        <w:autoSpaceDN w:val="0"/>
        <w:adjustRightInd w:val="0"/>
        <w:spacing w:line="360" w:lineRule="auto"/>
        <w:ind w:firstLine="600" w:firstLineChars="250"/>
        <w:jc w:val="left"/>
        <w:rPr>
          <w:rFonts w:hint="eastAsia" w:ascii="Times New Roman" w:hAnsi="Times New Roman" w:eastAsia="宋体"/>
          <w:bCs/>
          <w:sz w:val="24"/>
          <w:szCs w:val="24"/>
          <w:lang w:eastAsia="zh-CN"/>
        </w:rPr>
      </w:pPr>
      <w:r>
        <w:rPr>
          <w:rFonts w:hint="eastAsia" w:ascii="Times New Roman" w:hAnsi="Times New Roman" w:eastAsia="宋体"/>
          <w:bCs/>
          <w:sz w:val="24"/>
          <w:szCs w:val="24"/>
          <w:lang w:eastAsia="zh-CN"/>
        </w:rPr>
        <w:t>本项目服务经办律师不少于</w:t>
      </w:r>
      <w:r>
        <w:rPr>
          <w:rFonts w:hint="eastAsia" w:ascii="Times New Roman" w:hAnsi="Times New Roman" w:eastAsia="宋体"/>
          <w:bCs/>
          <w:sz w:val="24"/>
          <w:szCs w:val="24"/>
          <w:lang w:val="en-US" w:eastAsia="zh-CN"/>
        </w:rPr>
        <w:t>3名，其中</w:t>
      </w:r>
      <w:r>
        <w:rPr>
          <w:rFonts w:hint="eastAsia" w:ascii="宋体" w:hAnsi="宋体" w:eastAsia="宋体"/>
          <w:bCs/>
          <w:szCs w:val="32"/>
          <w:lang w:val="en-US" w:eastAsia="zh-CN"/>
        </w:rPr>
        <w:t>包含一名律所合伙人或负责人，提供</w:t>
      </w:r>
      <w:r>
        <w:rPr>
          <w:rFonts w:hint="eastAsia" w:ascii="Times New Roman" w:hAnsi="Times New Roman" w:eastAsia="宋体"/>
          <w:bCs/>
          <w:sz w:val="24"/>
          <w:szCs w:val="24"/>
          <w:lang w:eastAsia="zh-CN"/>
        </w:rPr>
        <w:t>包括但不限于身份证、律师执业资格证、服务业绩合同（含正在履约业绩，需提供证明为该业绩的经办服务律师）、年限证明、荣誉证明等材料。</w:t>
      </w:r>
    </w:p>
    <w:p>
      <w:pPr>
        <w:autoSpaceDE w:val="0"/>
        <w:autoSpaceDN w:val="0"/>
        <w:adjustRightInd w:val="0"/>
        <w:spacing w:line="360" w:lineRule="auto"/>
        <w:ind w:firstLine="600" w:firstLineChars="250"/>
        <w:jc w:val="left"/>
        <w:rPr>
          <w:rFonts w:hint="eastAsia" w:ascii="Times New Roman" w:hAnsi="Times New Roman" w:eastAsia="宋体"/>
          <w:bCs/>
          <w:color w:val="000000"/>
          <w:kern w:val="0"/>
          <w:szCs w:val="21"/>
          <w:lang w:eastAsia="zh-CN"/>
        </w:rPr>
      </w:pPr>
      <w:r>
        <w:rPr>
          <w:rFonts w:hint="eastAsia" w:ascii="Times New Roman" w:hAnsi="Times New Roman"/>
          <w:bCs/>
          <w:color w:val="000000"/>
          <w:kern w:val="0"/>
          <w:szCs w:val="21"/>
        </w:rPr>
        <w:t>2.以上涉及到的材料扫描件信息应完整或能充分反映评审因素。</w:t>
      </w:r>
      <w:r>
        <w:rPr>
          <w:rFonts w:ascii="Times New Roman" w:hAnsi="Times New Roman"/>
          <w:bCs/>
          <w:color w:val="000000"/>
          <w:kern w:val="0"/>
          <w:szCs w:val="21"/>
        </w:rPr>
        <w:t>如均未能明确反映出招标文件所要求的内容的（</w:t>
      </w:r>
      <w:r>
        <w:rPr>
          <w:rFonts w:hint="eastAsia" w:ascii="Times New Roman" w:hAnsi="Times New Roman"/>
          <w:bCs/>
          <w:color w:val="000000"/>
          <w:kern w:val="0"/>
          <w:szCs w:val="21"/>
        </w:rPr>
        <w:t>如</w:t>
      </w:r>
      <w:r>
        <w:rPr>
          <w:rFonts w:hint="eastAsia" w:ascii="Times New Roman" w:hAnsi="Times New Roman" w:eastAsia="宋体"/>
          <w:bCs/>
          <w:color w:val="000000"/>
          <w:kern w:val="0"/>
          <w:szCs w:val="21"/>
          <w:lang w:eastAsia="zh-CN"/>
        </w:rPr>
        <w:t>姓名、时间、获奖时间、颁发单位、项目内容、服务单位名称、</w:t>
      </w:r>
      <w:r>
        <w:rPr>
          <w:rFonts w:hint="eastAsia" w:ascii="Times New Roman" w:hAnsi="Times New Roman"/>
          <w:bCs/>
          <w:color w:val="000000"/>
          <w:kern w:val="0"/>
          <w:szCs w:val="21"/>
        </w:rPr>
        <w:t>合同签订时间等</w:t>
      </w:r>
      <w:r>
        <w:rPr>
          <w:rFonts w:ascii="Times New Roman" w:hAnsi="Times New Roman"/>
          <w:bCs/>
          <w:color w:val="000000"/>
          <w:kern w:val="0"/>
          <w:szCs w:val="21"/>
        </w:rPr>
        <w:t>），应另附证明资料予以明确说明</w:t>
      </w:r>
      <w:r>
        <w:rPr>
          <w:rFonts w:hint="eastAsia" w:ascii="Times New Roman" w:hAnsi="Times New Roman" w:eastAsia="宋体"/>
          <w:bCs/>
          <w:color w:val="000000"/>
          <w:kern w:val="0"/>
          <w:szCs w:val="21"/>
          <w:lang w:eastAsia="zh-CN"/>
        </w:rPr>
        <w:t>，若材料提供不清晰、不全等情况，后果自负。</w:t>
      </w:r>
    </w:p>
    <w:p>
      <w:pPr>
        <w:adjustRightInd w:val="0"/>
        <w:snapToGrid w:val="0"/>
        <w:spacing w:line="400" w:lineRule="exact"/>
        <w:ind w:firstLine="480" w:firstLineChars="200"/>
        <w:rPr>
          <w:rFonts w:hint="eastAsia" w:ascii="Times New Roman" w:hAnsi="Times New Roman"/>
          <w:bCs/>
          <w:color w:val="000000"/>
          <w:kern w:val="0"/>
          <w:szCs w:val="21"/>
        </w:rPr>
      </w:pPr>
    </w:p>
    <w:p>
      <w:pPr>
        <w:widowControl/>
        <w:numPr>
          <w:ilvl w:val="0"/>
          <w:numId w:val="0"/>
        </w:numPr>
        <w:ind w:left="172" w:leftChars="0" w:right="-15" w:rightChars="0" w:firstLine="480" w:firstLineChars="200"/>
        <w:jc w:val="both"/>
        <w:rPr>
          <w:rFonts w:hint="eastAsia" w:ascii="Times New Roman" w:hAnsi="Times New Roman" w:eastAsia="宋体"/>
          <w:bCs/>
          <w:sz w:val="24"/>
          <w:szCs w:val="24"/>
          <w:lang w:eastAsia="zh-CN"/>
        </w:rPr>
      </w:pPr>
    </w:p>
    <w:p>
      <w:pPr>
        <w:pStyle w:val="2"/>
        <w:jc w:val="center"/>
      </w:pPr>
      <w:r>
        <w:br w:type="page"/>
      </w:r>
    </w:p>
    <w:p>
      <w:pPr>
        <w:pStyle w:val="2"/>
        <w:jc w:val="center"/>
      </w:pPr>
    </w:p>
    <w:p>
      <w:pPr>
        <w:pStyle w:val="2"/>
        <w:jc w:val="center"/>
      </w:pPr>
    </w:p>
    <w:p>
      <w:pPr>
        <w:pStyle w:val="2"/>
        <w:jc w:val="center"/>
        <w:rPr>
          <w:rFonts w:hint="eastAsia" w:ascii="Times New Roman" w:hAnsi="Times New Roman" w:eastAsia="黑体" w:cs="Calibri"/>
          <w:bCs/>
          <w:color w:val="000000"/>
          <w:kern w:val="2"/>
          <w:sz w:val="36"/>
          <w:szCs w:val="36"/>
          <w:lang w:val="en-US" w:eastAsia="zh-CN" w:bidi="ar-SA"/>
        </w:rPr>
      </w:pPr>
      <w:r>
        <w:rPr>
          <w:rFonts w:hint="eastAsia" w:ascii="Times New Roman" w:hAnsi="Times New Roman" w:eastAsia="黑体" w:cs="Calibri"/>
          <w:bCs/>
          <w:color w:val="000000"/>
          <w:kern w:val="2"/>
          <w:sz w:val="36"/>
          <w:szCs w:val="36"/>
          <w:lang w:val="en-US" w:eastAsia="zh-CN" w:bidi="ar-SA"/>
        </w:rPr>
        <w:t>七、服务方案（自定格式）</w:t>
      </w:r>
    </w:p>
    <w:p>
      <w:pPr>
        <w:rPr>
          <w:rFonts w:hint="eastAsia"/>
          <w:lang w:val="en-US" w:eastAsia="zh-CN"/>
        </w:rPr>
      </w:pPr>
      <w:r>
        <w:rPr>
          <w:rFonts w:hint="eastAsia" w:ascii="宋体" w:hAnsi="宋体" w:eastAsia="宋体"/>
          <w:szCs w:val="21"/>
          <w:lang w:eastAsia="zh-CN"/>
        </w:rPr>
        <w:t>方案包括但不限于项目分析、服务思路、重难点分析、时间安排、人员配备、责任划分等。</w:t>
      </w:r>
    </w:p>
    <w:p>
      <w:pPr>
        <w:pStyle w:val="5"/>
        <w:numPr>
          <w:ilvl w:val="0"/>
          <w:numId w:val="0"/>
        </w:numPr>
        <w:ind w:leftChars="49" w:right="-15" w:rightChars="0"/>
        <w:jc w:val="both"/>
        <w:rPr>
          <w:rFonts w:hint="eastAsia" w:ascii="Times New Roman" w:hAnsi="Times New Roman"/>
          <w:bCs/>
          <w:sz w:val="24"/>
          <w:szCs w:val="24"/>
          <w:lang w:eastAsia="zh-CN"/>
        </w:rPr>
      </w:pPr>
    </w:p>
    <w:p>
      <w:pPr>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bCs/>
          <w:sz w:val="24"/>
          <w:szCs w:val="24"/>
          <w:lang w:eastAsia="zh-CN"/>
        </w:rPr>
      </w:pPr>
    </w:p>
    <w:p>
      <w:pPr>
        <w:pStyle w:val="2"/>
        <w:rPr>
          <w:rFonts w:hint="eastAsia" w:ascii="Times New Roman" w:hAnsi="Times New Roman" w:eastAsia="黑体" w:cs="Calibri"/>
          <w:bCs/>
          <w:color w:val="000000"/>
          <w:kern w:val="2"/>
          <w:sz w:val="36"/>
          <w:szCs w:val="36"/>
          <w:lang w:val="en-US" w:eastAsia="zh-CN" w:bidi="ar-SA"/>
        </w:rPr>
      </w:pPr>
    </w:p>
    <w:p>
      <w:pPr>
        <w:pStyle w:val="4"/>
        <w:numPr>
          <w:ilvl w:val="0"/>
          <w:numId w:val="7"/>
        </w:numPr>
        <w:ind w:leftChars="0" w:right="-15" w:rightChars="0"/>
        <w:jc w:val="center"/>
        <w:rPr>
          <w:rFonts w:hint="eastAsia" w:ascii="Times New Roman" w:hAnsi="Times New Roman" w:eastAsia="黑体" w:cs="Calibri"/>
          <w:bCs/>
          <w:color w:val="000000"/>
          <w:kern w:val="2"/>
          <w:sz w:val="36"/>
          <w:szCs w:val="36"/>
          <w:lang w:val="en-US" w:eastAsia="zh-CN" w:bidi="ar-SA"/>
        </w:rPr>
      </w:pPr>
      <w:r>
        <w:rPr>
          <w:rFonts w:hint="eastAsia" w:ascii="Times New Roman" w:hAnsi="Times New Roman" w:eastAsia="黑体" w:cs="Calibri"/>
          <w:bCs/>
          <w:color w:val="000000"/>
          <w:kern w:val="2"/>
          <w:sz w:val="36"/>
          <w:szCs w:val="36"/>
          <w:lang w:val="en-US" w:eastAsia="zh-CN" w:bidi="ar-SA"/>
        </w:rPr>
        <w:t>人员培训及管理制度（自定格式）</w:t>
      </w:r>
    </w:p>
    <w:p>
      <w:pPr>
        <w:numPr>
          <w:ilvl w:val="0"/>
          <w:numId w:val="0"/>
        </w:numPr>
        <w:ind w:left="172" w:leftChars="0" w:right="-15" w:rightChars="0" w:firstLine="480" w:firstLineChars="200"/>
        <w:rPr>
          <w:rFonts w:hint="eastAsia"/>
          <w:lang w:val="en-US" w:eastAsia="zh-CN"/>
        </w:rPr>
      </w:pPr>
      <w:r>
        <w:rPr>
          <w:rFonts w:hint="eastAsia" w:ascii="宋体" w:hAnsi="宋体"/>
          <w:szCs w:val="21"/>
        </w:rPr>
        <w:t>实行企业内部岗位责任制、管理维护运作制度及标准、管理人员考核制度及标准等，要求符合规范，体现高标准、科学合理、详细完整；有鲜明且科学的企业文化，对企业员工制定合理的培训计划、方式、目标，建立企业员工工作准则；录用与考核、淘汰机制、奖罚、协调关系、服务意识、量化管理及标准运作等；人员培训计划详细、方式合理、规范。</w:t>
      </w:r>
    </w:p>
    <w:p>
      <w:pPr>
        <w:pStyle w:val="5"/>
        <w:numPr>
          <w:ilvl w:val="0"/>
          <w:numId w:val="0"/>
        </w:numPr>
        <w:ind w:leftChars="49" w:right="-15" w:rightChars="0"/>
        <w:jc w:val="both"/>
        <w:rPr>
          <w:rFonts w:ascii="Times New Roman" w:hAnsi="Times New Roman"/>
          <w:bCs/>
          <w:sz w:val="24"/>
          <w:szCs w:val="24"/>
        </w:rPr>
      </w:pPr>
    </w:p>
    <w:p>
      <w:pPr>
        <w:rPr>
          <w:rFonts w:hint="eastAsia" w:ascii="Times New Roman" w:hAnsi="Times New Roman"/>
          <w:bCs/>
          <w:sz w:val="24"/>
          <w:szCs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7"/>
        </w:numPr>
        <w:ind w:leftChars="0" w:right="-15" w:rightChars="0"/>
        <w:jc w:val="center"/>
        <w:rPr>
          <w:rFonts w:hint="eastAsia" w:ascii="Times New Roman" w:hAnsi="Times New Roman" w:eastAsia="黑体" w:cs="Calibri"/>
          <w:bCs/>
          <w:color w:val="000000"/>
          <w:kern w:val="2"/>
          <w:sz w:val="36"/>
          <w:szCs w:val="36"/>
          <w:lang w:val="en-US" w:eastAsia="zh-CN" w:bidi="ar-SA"/>
        </w:rPr>
      </w:pPr>
      <w:r>
        <w:rPr>
          <w:rFonts w:hint="eastAsia" w:ascii="Times New Roman" w:hAnsi="Times New Roman" w:eastAsia="黑体" w:cs="Calibri"/>
          <w:bCs/>
          <w:color w:val="000000"/>
          <w:kern w:val="2"/>
          <w:sz w:val="36"/>
          <w:szCs w:val="36"/>
          <w:lang w:val="en-US" w:eastAsia="zh-CN" w:bidi="ar-SA"/>
        </w:rPr>
        <w:t>本地化服务（自定格式）</w:t>
      </w:r>
    </w:p>
    <w:p>
      <w:pPr>
        <w:spacing w:line="360" w:lineRule="auto"/>
        <w:ind w:left="410" w:leftChars="171" w:firstLine="228" w:firstLineChars="95"/>
        <w:rPr>
          <w:rFonts w:hint="eastAsia" w:ascii="Calibri" w:hAnsi="Calibri" w:eastAsia="宋体" w:cs="Calibri"/>
          <w:color w:val="000000"/>
          <w:kern w:val="2"/>
          <w:sz w:val="24"/>
          <w:szCs w:val="22"/>
          <w:highlight w:val="none"/>
          <w:lang w:val="en-US" w:eastAsia="zh-CN" w:bidi="ar-SA"/>
        </w:rPr>
      </w:pPr>
      <w:r>
        <w:rPr>
          <w:rFonts w:hint="eastAsia" w:ascii="Calibri" w:hAnsi="Calibri" w:eastAsia="宋体" w:cs="Calibri"/>
          <w:color w:val="000000"/>
          <w:kern w:val="2"/>
          <w:sz w:val="24"/>
          <w:szCs w:val="22"/>
          <w:highlight w:val="none"/>
          <w:lang w:val="en-US" w:eastAsia="zh-CN" w:bidi="ar-SA"/>
        </w:rPr>
        <w:t>1、提供本地化服务方案，要求本地化服务方案具有完善性、可操作性、响应及时性；</w:t>
      </w:r>
    </w:p>
    <w:p>
      <w:pPr>
        <w:pStyle w:val="2"/>
        <w:rPr>
          <w:rFonts w:hint="eastAsia" w:ascii="Calibri" w:hAnsi="Calibri" w:eastAsia="宋体" w:cs="Calibri"/>
          <w:color w:val="000000"/>
          <w:kern w:val="2"/>
          <w:sz w:val="24"/>
          <w:szCs w:val="22"/>
          <w:highlight w:val="none"/>
          <w:lang w:val="en-US" w:eastAsia="zh-CN" w:bidi="ar-SA"/>
        </w:rPr>
      </w:pPr>
      <w:r>
        <w:rPr>
          <w:rFonts w:hint="eastAsia" w:ascii="Calibri" w:hAnsi="Calibri" w:eastAsia="宋体" w:cs="Calibri"/>
          <w:color w:val="000000"/>
          <w:kern w:val="2"/>
          <w:sz w:val="24"/>
          <w:szCs w:val="22"/>
          <w:highlight w:val="none"/>
          <w:lang w:val="en-US" w:eastAsia="zh-CN" w:bidi="ar-SA"/>
        </w:rPr>
        <w:t>2、如具有本地化服务能力：如投标人在合肥区域范围（包括四县一市）注册成立的，或在合肥区域范围（包括四县一市）具有固定的办公场所及人员，或承诺中标即在合肥区域范围（包括四县一市）设立服务机构，附材料说明。</w:t>
      </w:r>
    </w:p>
    <w:p>
      <w:pPr>
        <w:pStyle w:val="2"/>
        <w:rPr>
          <w:rFonts w:hint="eastAsia" w:ascii="Calibri" w:hAnsi="Calibri" w:eastAsia="宋体" w:cs="Calibri"/>
          <w:color w:val="000000"/>
          <w:kern w:val="2"/>
          <w:sz w:val="24"/>
          <w:szCs w:val="22"/>
          <w:highlight w:val="none"/>
          <w:lang w:val="en-US" w:eastAsia="zh-CN" w:bidi="ar-SA"/>
        </w:rPr>
      </w:pPr>
      <w:r>
        <w:rPr>
          <w:rFonts w:hint="eastAsia" w:ascii="Calibri" w:hAnsi="Calibri" w:eastAsia="宋体" w:cs="Calibri"/>
          <w:color w:val="000000"/>
          <w:kern w:val="2"/>
          <w:sz w:val="24"/>
          <w:szCs w:val="22"/>
          <w:highlight w:val="none"/>
          <w:lang w:val="en-US" w:eastAsia="zh-CN" w:bidi="ar-SA"/>
        </w:rPr>
        <w:t>3、本地化服务方案需说明办公场所或服务机构设立的具体位置。</w:t>
      </w:r>
    </w:p>
    <w:p>
      <w:pPr>
        <w:numPr>
          <w:ilvl w:val="0"/>
          <w:numId w:val="0"/>
        </w:numPr>
        <w:spacing w:line="360" w:lineRule="auto"/>
        <w:ind w:left="172" w:leftChars="0" w:right="-15" w:rightChars="0"/>
        <w:rPr>
          <w:rFonts w:hint="eastAsia" w:ascii="Times New Roman" w:hAnsi="宋体" w:eastAsia="宋体" w:cs="Times New Roman"/>
          <w:b/>
          <w:bCs/>
          <w:szCs w:val="21"/>
          <w:highlight w:val="none"/>
        </w:rPr>
      </w:pPr>
    </w:p>
    <w:p>
      <w:pPr>
        <w:pStyle w:val="5"/>
        <w:numPr>
          <w:ilvl w:val="0"/>
          <w:numId w:val="0"/>
        </w:numPr>
        <w:ind w:leftChars="49" w:right="-15" w:rightChars="0"/>
        <w:jc w:val="both"/>
        <w:rPr>
          <w:rFonts w:ascii="Times New Roman" w:hAnsi="Times New Roman"/>
          <w:bCs/>
          <w:sz w:val="24"/>
          <w:szCs w:val="24"/>
        </w:rPr>
      </w:pPr>
    </w:p>
    <w:p>
      <w:pPr>
        <w:rPr>
          <w:rFonts w:hint="eastAsia" w:ascii="Times New Roman" w:hAnsi="Times New Roman"/>
          <w:bCs/>
          <w:sz w:val="24"/>
          <w:szCs w:val="24"/>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4"/>
        <w:numPr>
          <w:ilvl w:val="0"/>
          <w:numId w:val="7"/>
        </w:numPr>
        <w:ind w:leftChars="0" w:right="-15" w:rightChars="0"/>
        <w:jc w:val="center"/>
        <w:rPr>
          <w:rFonts w:hint="eastAsia" w:ascii="Times New Roman" w:hAnsi="Times New Roman" w:eastAsia="黑体" w:cs="Calibri"/>
          <w:bCs/>
          <w:color w:val="000000"/>
          <w:kern w:val="2"/>
          <w:sz w:val="36"/>
          <w:szCs w:val="36"/>
          <w:lang w:val="en-US" w:eastAsia="zh-CN" w:bidi="ar-SA"/>
        </w:rPr>
      </w:pPr>
      <w:r>
        <w:rPr>
          <w:rFonts w:hint="eastAsia" w:ascii="Times New Roman" w:hAnsi="Times New Roman" w:eastAsia="黑体" w:cs="Calibri"/>
          <w:bCs/>
          <w:color w:val="000000"/>
          <w:kern w:val="2"/>
          <w:sz w:val="36"/>
          <w:szCs w:val="36"/>
          <w:lang w:val="en-US" w:eastAsia="zh-CN" w:bidi="ar-SA"/>
        </w:rPr>
        <w:t>实施程序方案（自定格式）</w:t>
      </w:r>
    </w:p>
    <w:p>
      <w:pPr>
        <w:pStyle w:val="5"/>
        <w:numPr>
          <w:ilvl w:val="0"/>
          <w:numId w:val="0"/>
        </w:numPr>
        <w:ind w:right="-15" w:rightChars="0" w:firstLine="480" w:firstLineChars="200"/>
        <w:jc w:val="both"/>
        <w:rPr>
          <w:rFonts w:hint="eastAsia" w:ascii="Calibri" w:hAnsi="Calibri" w:eastAsia="宋体" w:cs="Calibri"/>
          <w:color w:val="000000"/>
          <w:kern w:val="2"/>
          <w:sz w:val="24"/>
          <w:szCs w:val="22"/>
          <w:highlight w:val="none"/>
          <w:lang w:val="en-US" w:eastAsia="zh-CN" w:bidi="ar-SA"/>
        </w:rPr>
      </w:pPr>
      <w:r>
        <w:rPr>
          <w:rFonts w:hint="eastAsia" w:ascii="Calibri" w:hAnsi="Calibri" w:eastAsia="宋体" w:cs="Calibri"/>
          <w:color w:val="000000"/>
          <w:kern w:val="2"/>
          <w:sz w:val="24"/>
          <w:szCs w:val="22"/>
          <w:highlight w:val="none"/>
          <w:lang w:val="en-US" w:eastAsia="zh-CN" w:bidi="ar-SA"/>
        </w:rPr>
        <w:t>根据项目的特点和要求，拟定人员配备、审核程序、资料收集、信息反馈、沟通协调、完成时限等各项工作程序。</w:t>
      </w:r>
    </w:p>
    <w:p>
      <w:pPr>
        <w:pStyle w:val="5"/>
        <w:numPr>
          <w:ilvl w:val="0"/>
          <w:numId w:val="0"/>
        </w:numPr>
        <w:ind w:leftChars="49" w:right="-15" w:rightChars="0"/>
        <w:jc w:val="both"/>
        <w:rPr>
          <w:rFonts w:ascii="Times New Roman" w:hAnsi="Times New Roman"/>
          <w:bCs/>
          <w:sz w:val="24"/>
          <w:szCs w:val="24"/>
        </w:rPr>
      </w:pPr>
    </w:p>
    <w:p>
      <w:pPr>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rPr>
          <w:rFonts w:ascii="Times New Roman" w:hAnsi="Times New Roman"/>
          <w:bCs/>
          <w:sz w:val="24"/>
          <w:szCs w:val="24"/>
        </w:rPr>
      </w:pPr>
    </w:p>
    <w:p>
      <w:pPr>
        <w:pStyle w:val="2"/>
        <w:jc w:val="center"/>
        <w:rPr>
          <w:rFonts w:ascii="Times New Roman" w:hAnsi="Times New Roman"/>
          <w:bCs/>
          <w:sz w:val="24"/>
          <w:szCs w:val="24"/>
        </w:rPr>
      </w:pPr>
    </w:p>
    <w:p>
      <w:pPr>
        <w:pStyle w:val="4"/>
        <w:numPr>
          <w:ilvl w:val="0"/>
          <w:numId w:val="0"/>
        </w:numPr>
        <w:ind w:leftChars="0" w:right="-15" w:rightChars="0" w:firstLine="1080" w:firstLineChars="300"/>
        <w:jc w:val="center"/>
        <w:rPr>
          <w:rFonts w:hint="eastAsia" w:ascii="Times New Roman" w:hAnsi="Times New Roman" w:eastAsia="黑体" w:cs="Calibri"/>
          <w:bCs/>
          <w:color w:val="000000"/>
          <w:kern w:val="2"/>
          <w:sz w:val="36"/>
          <w:szCs w:val="36"/>
          <w:lang w:val="en-US" w:eastAsia="zh-CN" w:bidi="ar-SA"/>
        </w:rPr>
      </w:pPr>
      <w:r>
        <w:rPr>
          <w:rFonts w:hint="eastAsia" w:ascii="Times New Roman" w:hAnsi="Times New Roman" w:eastAsia="黑体" w:cs="Calibri"/>
          <w:bCs/>
          <w:color w:val="000000"/>
          <w:kern w:val="2"/>
          <w:sz w:val="36"/>
          <w:szCs w:val="36"/>
          <w:lang w:val="en-US" w:eastAsia="zh-CN" w:bidi="ar-SA"/>
        </w:rPr>
        <w:t>十一、其他资料（自定格式）</w:t>
      </w:r>
    </w:p>
    <w:p>
      <w:pPr>
        <w:pStyle w:val="5"/>
        <w:numPr>
          <w:ilvl w:val="0"/>
          <w:numId w:val="0"/>
        </w:numPr>
        <w:ind w:right="-15" w:rightChars="0"/>
        <w:jc w:val="both"/>
        <w:rPr>
          <w:rFonts w:ascii="Times New Roman" w:hAnsi="Times New Roman"/>
          <w:bCs/>
          <w:sz w:val="24"/>
          <w:szCs w:val="24"/>
        </w:rPr>
      </w:pPr>
    </w:p>
    <w:p>
      <w:pPr>
        <w:autoSpaceDE w:val="0"/>
        <w:autoSpaceDN w:val="0"/>
        <w:adjustRightInd w:val="0"/>
        <w:snapToGrid w:val="0"/>
        <w:spacing w:line="360" w:lineRule="auto"/>
        <w:jc w:val="left"/>
        <w:rPr>
          <w:rFonts w:ascii="宋体" w:hAnsi="宋体"/>
          <w:snapToGrid w:val="0"/>
          <w:kern w:val="0"/>
          <w:sz w:val="20"/>
        </w:rPr>
      </w:pPr>
    </w:p>
    <w:p>
      <w:pPr>
        <w:tabs>
          <w:tab w:val="left" w:pos="5760"/>
        </w:tabs>
        <w:autoSpaceDE w:val="0"/>
        <w:autoSpaceDN w:val="0"/>
        <w:adjustRightInd w:val="0"/>
        <w:spacing w:line="300" w:lineRule="exact"/>
        <w:ind w:right="11" w:firstLine="480" w:firstLineChars="200"/>
        <w:rPr>
          <w:rFonts w:ascii="宋体" w:hAnsi="宋体"/>
        </w:rPr>
      </w:pPr>
      <w:r>
        <w:rPr>
          <w:rFonts w:hint="eastAsia" w:ascii="宋体" w:hAnsi="宋体"/>
        </w:rPr>
        <w:t>投标人对照商务及技术文件初步评审及详细评审条件，自行提供其他相关资料（如有）</w:t>
      </w:r>
    </w:p>
    <w:p>
      <w:pPr>
        <w:spacing w:line="440" w:lineRule="exact"/>
        <w:ind w:firstLine="2467" w:firstLineChars="1028"/>
        <w:rPr>
          <w:rFonts w:ascii="宋体" w:hAnsi="宋体"/>
          <w:color w:val="000000"/>
        </w:rPr>
      </w:pPr>
    </w:p>
    <w:p>
      <w:pPr>
        <w:spacing w:line="440" w:lineRule="exact"/>
        <w:ind w:firstLine="2467" w:firstLineChars="1028"/>
        <w:rPr>
          <w:rFonts w:ascii="宋体" w:hAnsi="宋体"/>
          <w:color w:val="000000"/>
        </w:rPr>
      </w:pPr>
    </w:p>
    <w:p>
      <w:pPr>
        <w:pStyle w:val="5"/>
        <w:spacing w:before="0" w:after="0" w:line="360" w:lineRule="auto"/>
        <w:ind w:firstLine="0" w:firstLineChars="0"/>
        <w:rPr>
          <w:rFonts w:hint="eastAsia" w:ascii="宋体" w:hAnsi="宋体" w:eastAsia="宋体"/>
          <w:sz w:val="24"/>
          <w:szCs w:val="24"/>
        </w:rPr>
      </w:pPr>
    </w:p>
    <w:p>
      <w:pPr>
        <w:spacing w:line="440" w:lineRule="exact"/>
        <w:rPr>
          <w:rFonts w:ascii="宋体" w:hAnsi="宋体"/>
        </w:rPr>
      </w:pPr>
    </w:p>
    <w:p>
      <w:pPr>
        <w:widowControl/>
        <w:spacing w:line="360" w:lineRule="auto"/>
        <w:ind w:left="0" w:leftChars="0" w:firstLine="720" w:firstLineChars="300"/>
        <w:jc w:val="left"/>
        <w:rPr>
          <w:rFonts w:ascii="Times New Roman" w:hAnsi="Times New Roman"/>
          <w:color w:val="000000"/>
        </w:rPr>
      </w:pPr>
      <w:r>
        <w:rPr>
          <w:rFonts w:hint="eastAsia" w:ascii="Times New Roman" w:hAnsi="Times New Roman"/>
          <w:color w:val="000000"/>
        </w:rPr>
        <w:t>注：对照报价文件初步评审及详细评审条件，由投标人自行提供相关证明。如证明或声明与实际不符，将被取消投标或中标资格。</w:t>
      </w:r>
    </w:p>
    <w:bookmarkEnd w:id="335"/>
    <w:bookmarkEnd w:id="336"/>
    <w:bookmarkEnd w:id="337"/>
    <w:p>
      <w:pPr>
        <w:widowControl/>
        <w:ind w:left="0" w:leftChars="0"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9" w:h="16834"/>
      <w:pgMar w:top="1418" w:right="1064" w:bottom="1440" w:left="1067" w:header="827"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center"/>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right="0" w:firstLine="0"/>
      <w:jc w:val="center"/>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6" w:lineRule="auto"/>
      </w:pPr>
      <w:r>
        <w:separator/>
      </w:r>
    </w:p>
  </w:footnote>
  <w:footnote w:type="continuationSeparator" w:id="3">
    <w:p>
      <w:pPr>
        <w:spacing w:before="0" w:after="0" w:line="246" w:lineRule="auto"/>
      </w:pPr>
      <w:r>
        <w:continuationSeparator/>
      </w:r>
    </w:p>
  </w:footnote>
  <w:footnote w:id="0">
    <w:p>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right="0" w:firstLine="0"/>
      <w:jc w:val="both"/>
    </w:pPr>
    <w:r>
      <w:rPr>
        <w:sz w:val="22"/>
      </w:rPr>
      <mc:AlternateContent>
        <mc:Choice Requires="wpg">
          <w:drawing>
            <wp:anchor distT="0" distB="0" distL="114300" distR="114300" simplePos="0" relativeHeight="251660288" behindDoc="0" locked="0" layoutInCell="1" allowOverlap="1">
              <wp:simplePos x="0" y="0"/>
              <wp:positionH relativeFrom="page">
                <wp:posOffset>777875</wp:posOffset>
              </wp:positionH>
              <wp:positionV relativeFrom="page">
                <wp:posOffset>713740</wp:posOffset>
              </wp:positionV>
              <wp:extent cx="6024245" cy="8890"/>
              <wp:effectExtent l="0" t="0" r="0" b="0"/>
              <wp:wrapSquare wrapText="bothSides"/>
              <wp:docPr id="62715" name="Group 62715"/>
              <wp:cNvGraphicFramePr/>
              <a:graphic xmlns:a="http://schemas.openxmlformats.org/drawingml/2006/main">
                <a:graphicData uri="http://schemas.microsoft.com/office/word/2010/wordprocessingGroup">
                  <wpg:wgp>
                    <wpg:cNvGrpSpPr/>
                    <wpg:grpSpPr>
                      <a:xfrm>
                        <a:off x="0" y="0"/>
                        <a:ext cx="6023991" cy="9144"/>
                        <a:chOff x="0" y="0"/>
                        <a:chExt cx="6023991" cy="9144"/>
                      </a:xfrm>
                    </wpg:grpSpPr>
                    <wps:wsp>
                      <wps:cNvPr id="68924" name="Shape 68924"/>
                      <wps:cNvSpPr/>
                      <wps:spPr>
                        <a:xfrm>
                          <a:off x="0" y="0"/>
                          <a:ext cx="6023991" cy="9144"/>
                        </a:xfrm>
                        <a:custGeom>
                          <a:avLst/>
                          <a:gdLst/>
                          <a:ahLst/>
                          <a:cxnLst/>
                          <a:rect l="0" t="0" r="0" b="0"/>
                          <a:pathLst>
                            <a:path w="6023991" h="9144">
                              <a:moveTo>
                                <a:pt x="0" y="0"/>
                              </a:moveTo>
                              <a:lnTo>
                                <a:pt x="6023991" y="0"/>
                              </a:lnTo>
                              <a:lnTo>
                                <a:pt x="60239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62715" o:spid="_x0000_s1026" o:spt="203" style="position:absolute;left:0pt;margin-left:61.25pt;margin-top:56.2pt;height:0.7pt;width:474.35pt;mso-position-horizontal-relative:page;mso-position-vertical-relative:page;mso-wrap-distance-bottom:0pt;mso-wrap-distance-left:9pt;mso-wrap-distance-right:9pt;mso-wrap-distance-top:0pt;z-index:251660288;mso-width-relative:page;mso-height-relative:page;" coordsize="6023991,9144" o:gfxdata="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yAJT32gAAAAwBAAAPAAAA&#10;AAAAAAEAIAAAACIAAABkcnMvZG93bnJldi54bWxQSwECFAAUAAAACACHTuJAa5uBnkwCAADiBQAA&#10;DgAAAAAAAAABACAAAAApAQAAZHJzL2Uyb0RvYy54bWxQSwUGAAAAAAYABgBZAQAA5wUAAAAA&#10;">
              <o:lock v:ext="edit" aspectratio="f"/>
              <v:shape id="Shape 68924" o:spid="_x0000_s1026" o:spt="100" style="position:absolute;left:0;top:0;height:9144;width:6023991;" fillcolor="#000000" filled="t" stroked="f" coordsize="6023991,9144" o:gfxdata="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UYCG/&#10;AAAA3gAAAA8AAAAAAAAAAQAgAAAAIgAAAGRycy9kb3ducmV2LnhtbFBLAQIUABQAAAAIAIdO4kAz&#10;LwWeOwAAADkAAAAQAAAAAAAAAAEAIAAAAA4BAABkcnMvc2hhcGV4bWwueG1sUEsFBgAAAAAGAAYA&#10;WwEAALgDAAAAAA==&#10;" path="m0,0l6023991,0,6023991,9144,0,9144,0,0e">
                <v:fill on="t" focussize="0,0"/>
                <v:stroke on="f" weight="0pt" miterlimit="1" joinstyle="miter"/>
                <v:imagedata o:title=""/>
                <o:lock v:ext="edit" aspectratio="f"/>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40" w:lineRule="auto"/>
      <w:ind w:left="0" w:right="0" w:firstLine="0"/>
    </w:pPr>
    <w:r>
      <w:rPr>
        <w:sz w:val="19"/>
      </w:rPr>
      <w:t>合肥市产权交易中心竞争性磋商文件</w:t>
    </w:r>
    <w:r>
      <w:rPr>
        <w:rFonts w:ascii="Times New Roman" w:hAnsi="Times New Roman" w:eastAsia="Times New Roman" w:cs="Times New Roman"/>
        <w:sz w:val="19"/>
      </w:rPr>
      <w:t>—</w:t>
    </w:r>
    <w:r>
      <w:rPr>
        <w:sz w:val="19"/>
      </w:rPr>
      <w:t>服务类</w:t>
    </w:r>
    <w:r>
      <w:rPr>
        <w:rFonts w:ascii="Times New Roman" w:hAnsi="Times New Roman" w:eastAsia="Times New Roman" w:cs="Times New Roman"/>
        <w:color w:val="FF0000"/>
        <w:sz w:val="19"/>
      </w:rPr>
      <w:t>20210113</w:t>
    </w:r>
    <w:r>
      <w:rPr>
        <w:sz w:val="19"/>
      </w:rPr>
      <w:t>版（网招）</w:t>
    </w:r>
    <w:r>
      <w:rPr>
        <w:color w:val="0000FF"/>
      </w:rPr>
      <w:t xml:space="preserve"> </w:t>
    </w:r>
  </w:p>
  <w:p>
    <w:pPr>
      <w:spacing w:after="0" w:line="276" w:lineRule="auto"/>
      <w:ind w:left="0" w:right="0" w:firstLine="0"/>
      <w:jc w:val="right"/>
    </w:pPr>
    <w:r>
      <w:rPr>
        <w:sz w:val="22"/>
      </w:rPr>
      <mc:AlternateContent>
        <mc:Choice Requires="wpg">
          <w:drawing>
            <wp:anchor distT="0" distB="0" distL="114300" distR="114300" simplePos="0" relativeHeight="251659264" behindDoc="0" locked="0" layoutInCell="1" allowOverlap="1">
              <wp:simplePos x="0" y="0"/>
              <wp:positionH relativeFrom="page">
                <wp:posOffset>777875</wp:posOffset>
              </wp:positionH>
              <wp:positionV relativeFrom="page">
                <wp:posOffset>713740</wp:posOffset>
              </wp:positionV>
              <wp:extent cx="6024245" cy="8890"/>
              <wp:effectExtent l="0" t="0" r="0" b="0"/>
              <wp:wrapSquare wrapText="bothSides"/>
              <wp:docPr id="62750" name="Group 62750"/>
              <wp:cNvGraphicFramePr/>
              <a:graphic xmlns:a="http://schemas.openxmlformats.org/drawingml/2006/main">
                <a:graphicData uri="http://schemas.microsoft.com/office/word/2010/wordprocessingGroup">
                  <wpg:wgp>
                    <wpg:cNvGrpSpPr/>
                    <wpg:grpSpPr>
                      <a:xfrm>
                        <a:off x="0" y="0"/>
                        <a:ext cx="6023991" cy="9144"/>
                        <a:chOff x="0" y="0"/>
                        <a:chExt cx="6023991" cy="9144"/>
                      </a:xfrm>
                    </wpg:grpSpPr>
                    <wps:wsp>
                      <wps:cNvPr id="68925" name="Shape 68925"/>
                      <wps:cNvSpPr/>
                      <wps:spPr>
                        <a:xfrm>
                          <a:off x="0" y="0"/>
                          <a:ext cx="6023991" cy="9144"/>
                        </a:xfrm>
                        <a:custGeom>
                          <a:avLst/>
                          <a:gdLst/>
                          <a:ahLst/>
                          <a:cxnLst/>
                          <a:rect l="0" t="0" r="0" b="0"/>
                          <a:pathLst>
                            <a:path w="6023991" h="9144">
                              <a:moveTo>
                                <a:pt x="0" y="0"/>
                              </a:moveTo>
                              <a:lnTo>
                                <a:pt x="6023991" y="0"/>
                              </a:lnTo>
                              <a:lnTo>
                                <a:pt x="60239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62750" o:spid="_x0000_s1026" o:spt="203" style="position:absolute;left:0pt;margin-left:61.25pt;margin-top:56.2pt;height:0.7pt;width:474.35pt;mso-position-horizontal-relative:page;mso-position-vertical-relative:page;mso-wrap-distance-bottom:0pt;mso-wrap-distance-left:9pt;mso-wrap-distance-right:9pt;mso-wrap-distance-top:0pt;z-index:251659264;mso-width-relative:page;mso-height-relative:page;" coordsize="6023991,9144" o:gfxdata="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yAJT32gAAAAwBAAAPAAAA&#10;AAAAAAEAIAAAACIAAABkcnMvZG93bnJldi54bWxQSwECFAAUAAAACACHTuJAeL38lEwCAADiBQAA&#10;DgAAAAAAAAABACAAAAApAQAAZHJzL2Uyb0RvYy54bWxQSwUGAAAAAAYABgBZAQAA5wUAAAAA&#10;">
              <o:lock v:ext="edit" aspectratio="f"/>
              <v:shape id="Shape 68925" o:spid="_x0000_s1026" o:spt="100" style="position:absolute;left:0;top:0;height:9144;width:6023991;" fillcolor="#000000" filled="t" stroked="f" coordsize="6023991,9144" o:gfxdata="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jFur4A&#10;AADeAAAADwAAAAAAAAABACAAAAAiAAAAZHJzL2Rvd25yZXYueG1sUEsBAhQAFAAAAAgAh07iQDMv&#10;BZ47AAAAOQAAABAAAAAAAAAAAQAgAAAADQEAAGRycy9zaGFwZXhtbC54bWxQSwUGAAAAAAYABgBb&#10;AQAAtwMAAAAA&#10;" path="m0,0l6023991,0,6023991,9144,0,9144,0,0e">
                <v:fill on="t" focussize="0,0"/>
                <v:stroke on="f" weight="0pt" miterlimit="1" joinstyle="miter"/>
                <v:imagedata o:title=""/>
                <o:lock v:ext="edit" aspectratio="f"/>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46" w:line="240" w:lineRule="auto"/>
      <w:ind w:left="0" w:right="0" w:firstLine="0"/>
    </w:pPr>
    <w:r>
      <w:rPr>
        <w:sz w:val="19"/>
      </w:rPr>
      <w:t>合肥市产权交易中心竞争性磋商文件</w:t>
    </w:r>
    <w:r>
      <w:rPr>
        <w:rFonts w:ascii="Times New Roman" w:hAnsi="Times New Roman" w:eastAsia="Times New Roman" w:cs="Times New Roman"/>
        <w:sz w:val="19"/>
      </w:rPr>
      <w:t>—</w:t>
    </w:r>
    <w:r>
      <w:rPr>
        <w:sz w:val="19"/>
      </w:rPr>
      <w:t>服务类</w:t>
    </w:r>
    <w:r>
      <w:rPr>
        <w:rFonts w:ascii="Times New Roman" w:hAnsi="Times New Roman" w:eastAsia="Times New Roman" w:cs="Times New Roman"/>
        <w:color w:val="FF0000"/>
        <w:sz w:val="19"/>
      </w:rPr>
      <w:t>20210113</w:t>
    </w:r>
    <w:r>
      <w:rPr>
        <w:sz w:val="19"/>
      </w:rPr>
      <w:t>版（网招）</w:t>
    </w:r>
    <w:r>
      <w:rPr>
        <w:color w:val="0000FF"/>
      </w:rPr>
      <w:t xml:space="preserve"> </w:t>
    </w:r>
  </w:p>
  <w:p>
    <w:pPr>
      <w:spacing w:after="0" w:line="276" w:lineRule="auto"/>
      <w:ind w:left="0" w:right="0" w:firstLine="0"/>
      <w:jc w:val="right"/>
    </w:pPr>
    <w:r>
      <w:rPr>
        <w:sz w:val="22"/>
      </w:rPr>
      <mc:AlternateContent>
        <mc:Choice Requires="wpg">
          <w:drawing>
            <wp:anchor distT="0" distB="0" distL="114300" distR="114300" simplePos="0" relativeHeight="251661312" behindDoc="0" locked="0" layoutInCell="1" allowOverlap="1">
              <wp:simplePos x="0" y="0"/>
              <wp:positionH relativeFrom="page">
                <wp:posOffset>777875</wp:posOffset>
              </wp:positionH>
              <wp:positionV relativeFrom="page">
                <wp:posOffset>713740</wp:posOffset>
              </wp:positionV>
              <wp:extent cx="6024245" cy="8890"/>
              <wp:effectExtent l="0" t="0" r="0" b="0"/>
              <wp:wrapSquare wrapText="bothSides"/>
              <wp:docPr id="62680" name="Group 62680"/>
              <wp:cNvGraphicFramePr/>
              <a:graphic xmlns:a="http://schemas.openxmlformats.org/drawingml/2006/main">
                <a:graphicData uri="http://schemas.microsoft.com/office/word/2010/wordprocessingGroup">
                  <wpg:wgp>
                    <wpg:cNvGrpSpPr/>
                    <wpg:grpSpPr>
                      <a:xfrm>
                        <a:off x="0" y="0"/>
                        <a:ext cx="6023991" cy="9144"/>
                        <a:chOff x="0" y="0"/>
                        <a:chExt cx="6023991" cy="9144"/>
                      </a:xfrm>
                    </wpg:grpSpPr>
                    <wps:wsp>
                      <wps:cNvPr id="68923" name="Shape 68923"/>
                      <wps:cNvSpPr/>
                      <wps:spPr>
                        <a:xfrm>
                          <a:off x="0" y="0"/>
                          <a:ext cx="6023991" cy="9144"/>
                        </a:xfrm>
                        <a:custGeom>
                          <a:avLst/>
                          <a:gdLst/>
                          <a:ahLst/>
                          <a:cxnLst/>
                          <a:rect l="0" t="0" r="0" b="0"/>
                          <a:pathLst>
                            <a:path w="6023991" h="9144">
                              <a:moveTo>
                                <a:pt x="0" y="0"/>
                              </a:moveTo>
                              <a:lnTo>
                                <a:pt x="6023991" y="0"/>
                              </a:lnTo>
                              <a:lnTo>
                                <a:pt x="602399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62680" o:spid="_x0000_s1026" o:spt="203" style="position:absolute;left:0pt;margin-left:61.25pt;margin-top:56.2pt;height:0.7pt;width:474.35pt;mso-position-horizontal-relative:page;mso-position-vertical-relative:page;mso-wrap-distance-bottom:0pt;mso-wrap-distance-left:9pt;mso-wrap-distance-right:9pt;mso-wrap-distance-top:0pt;z-index:251661312;mso-width-relative:page;mso-height-relative:page;" coordsize="6023991,9144" o:gfxdata="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IAlPfaAAAADAEAAA8AAAAA&#10;AAAAAQAgAAAAIgAAAGRycy9kb3ducmV2LnhtbFBLAQIUABQAAAAIAIdO4kBLetw1SwIAAOIFAAAO&#10;AAAAAAAAAAEAIAAAACkBAABkcnMvZTJvRG9jLnhtbFBLBQYAAAAABgAGAFkBAADmBQAAAAA=&#10;">
              <o:lock v:ext="edit" aspectratio="f"/>
              <v:shape id="Shape 68923" o:spid="_x0000_s1026" o:spt="100" style="position:absolute;left:0;top:0;height:9144;width:6023991;" fillcolor="#000000" filled="t" stroked="f" coordsize="6023991,9144" o:gfxdata="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34Vb4A&#10;AADeAAAADwAAAAAAAAABACAAAAAiAAAAZHJzL2Rvd25yZXYueG1sUEsBAhQAFAAAAAgAh07iQDMv&#10;BZ47AAAAOQAAABAAAAAAAAAAAQAgAAAADQEAAGRycy9zaGFwZXhtbC54bWxQSwUGAAAAAAYABgBb&#10;AQAAtwMAAAAA&#10;" path="m0,0l6023991,0,6023991,9144,0,9144,0,0e">
                <v:fill on="t" focussize="0,0"/>
                <v:stroke on="f" weight="0pt" miterlimit="1" joinstyle="miter"/>
                <v:imagedata o:title=""/>
                <o:lock v:ext="edit" aspectratio="f"/>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44912"/>
    <w:multiLevelType w:val="singleLevel"/>
    <w:tmpl w:val="8A544912"/>
    <w:lvl w:ilvl="0" w:tentative="0">
      <w:start w:val="6"/>
      <w:numFmt w:val="chineseCounting"/>
      <w:suff w:val="space"/>
      <w:lvlText w:val="第%1章"/>
      <w:lvlJc w:val="left"/>
      <w:rPr>
        <w:rFonts w:hint="eastAsia"/>
      </w:rPr>
    </w:lvl>
  </w:abstractNum>
  <w:abstractNum w:abstractNumId="1">
    <w:nsid w:val="B446A489"/>
    <w:multiLevelType w:val="singleLevel"/>
    <w:tmpl w:val="B446A489"/>
    <w:lvl w:ilvl="0" w:tentative="0">
      <w:start w:val="1"/>
      <w:numFmt w:val="decimal"/>
      <w:suff w:val="nothing"/>
      <w:lvlText w:val="（%1）"/>
      <w:lvlJc w:val="left"/>
    </w:lvl>
  </w:abstractNum>
  <w:abstractNum w:abstractNumId="2">
    <w:nsid w:val="D12DA9AF"/>
    <w:multiLevelType w:val="singleLevel"/>
    <w:tmpl w:val="D12DA9AF"/>
    <w:lvl w:ilvl="0" w:tentative="0">
      <w:start w:val="1"/>
      <w:numFmt w:val="decimal"/>
      <w:suff w:val="nothing"/>
      <w:lvlText w:val="%1、"/>
      <w:lvlJc w:val="left"/>
      <w:pPr>
        <w:ind w:left="118"/>
      </w:pPr>
    </w:lvl>
  </w:abstractNum>
  <w:abstractNum w:abstractNumId="3">
    <w:nsid w:val="EA48F372"/>
    <w:multiLevelType w:val="singleLevel"/>
    <w:tmpl w:val="EA48F372"/>
    <w:lvl w:ilvl="0" w:tentative="0">
      <w:start w:val="4"/>
      <w:numFmt w:val="chineseCounting"/>
      <w:suff w:val="nothing"/>
      <w:lvlText w:val="%1、"/>
      <w:lvlJc w:val="left"/>
      <w:rPr>
        <w:rFonts w:hint="eastAsia"/>
      </w:rPr>
    </w:lvl>
  </w:abstractNum>
  <w:abstractNum w:abstractNumId="4">
    <w:nsid w:val="2F000000"/>
    <w:multiLevelType w:val="multilevel"/>
    <w:tmpl w:val="2F000000"/>
    <w:lvl w:ilvl="0" w:tentative="0">
      <w:start w:val="1"/>
      <w:numFmt w:val="decimal"/>
      <w:suff w:val="nothing"/>
      <w:lvlText w:val="（%1）"/>
      <w:lvlJc w:val="left"/>
    </w:lvl>
    <w:lvl w:ilvl="1" w:tentative="0">
      <w:start w:val="1"/>
      <w:numFmt w:val="decimal"/>
      <w:suff w:val="nothing"/>
      <w:lvlText w:val="（%1）"/>
      <w:lvlJc w:val="left"/>
    </w:lvl>
    <w:lvl w:ilvl="2" w:tentative="0">
      <w:start w:val="1"/>
      <w:numFmt w:val="decimal"/>
      <w:suff w:val="nothing"/>
      <w:lvlText w:val="（%1）"/>
      <w:lvlJc w:val="left"/>
    </w:lvl>
    <w:lvl w:ilvl="3" w:tentative="0">
      <w:start w:val="1"/>
      <w:numFmt w:val="decimal"/>
      <w:suff w:val="nothing"/>
      <w:lvlText w:val="（%1）"/>
      <w:lvlJc w:val="left"/>
    </w:lvl>
    <w:lvl w:ilvl="4" w:tentative="0">
      <w:start w:val="1"/>
      <w:numFmt w:val="decimal"/>
      <w:suff w:val="nothing"/>
      <w:lvlText w:val="（%1）"/>
      <w:lvlJc w:val="left"/>
    </w:lvl>
    <w:lvl w:ilvl="5" w:tentative="0">
      <w:start w:val="1"/>
      <w:numFmt w:val="decimal"/>
      <w:suff w:val="nothing"/>
      <w:lvlText w:val="（%1）"/>
      <w:lvlJc w:val="left"/>
    </w:lvl>
    <w:lvl w:ilvl="6" w:tentative="0">
      <w:start w:val="1"/>
      <w:numFmt w:val="decimal"/>
      <w:suff w:val="nothing"/>
      <w:lvlText w:val="（%1）"/>
      <w:lvlJc w:val="left"/>
    </w:lvl>
    <w:lvl w:ilvl="7" w:tentative="0">
      <w:start w:val="1"/>
      <w:numFmt w:val="decimal"/>
      <w:suff w:val="nothing"/>
      <w:lvlText w:val="（%1）"/>
      <w:lvlJc w:val="left"/>
    </w:lvl>
    <w:lvl w:ilvl="8" w:tentative="0">
      <w:start w:val="1"/>
      <w:numFmt w:val="decimal"/>
      <w:suff w:val="nothing"/>
      <w:lvlText w:val="（%1）"/>
      <w:lvlJc w:val="left"/>
    </w:lvl>
  </w:abstractNum>
  <w:abstractNum w:abstractNumId="5">
    <w:nsid w:val="589D0003"/>
    <w:multiLevelType w:val="singleLevel"/>
    <w:tmpl w:val="589D0003"/>
    <w:lvl w:ilvl="0" w:tentative="0">
      <w:start w:val="2"/>
      <w:numFmt w:val="decimal"/>
      <w:suff w:val="nothing"/>
      <w:lvlText w:val="%1、"/>
      <w:lvlJc w:val="left"/>
    </w:lvl>
  </w:abstractNum>
  <w:abstractNum w:abstractNumId="6">
    <w:nsid w:val="68C66169"/>
    <w:multiLevelType w:val="singleLevel"/>
    <w:tmpl w:val="68C66169"/>
    <w:lvl w:ilvl="0" w:tentative="0">
      <w:start w:val="8"/>
      <w:numFmt w:val="chineseCounting"/>
      <w:suff w:val="nothing"/>
      <w:lvlText w:val="%1、"/>
      <w:lvlJc w:val="left"/>
      <w:rPr>
        <w:rFonts w:hint="eastAsia"/>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6D"/>
    <w:rsid w:val="0006120D"/>
    <w:rsid w:val="000922BE"/>
    <w:rsid w:val="000C6E41"/>
    <w:rsid w:val="000E0F2F"/>
    <w:rsid w:val="0015198B"/>
    <w:rsid w:val="001679F4"/>
    <w:rsid w:val="002314AE"/>
    <w:rsid w:val="00240554"/>
    <w:rsid w:val="00275881"/>
    <w:rsid w:val="002A5C8D"/>
    <w:rsid w:val="0033606D"/>
    <w:rsid w:val="00357C5F"/>
    <w:rsid w:val="003808B5"/>
    <w:rsid w:val="003A19B8"/>
    <w:rsid w:val="00413429"/>
    <w:rsid w:val="004441F7"/>
    <w:rsid w:val="00447D4E"/>
    <w:rsid w:val="0046772D"/>
    <w:rsid w:val="004E2FFA"/>
    <w:rsid w:val="005F622C"/>
    <w:rsid w:val="006516BF"/>
    <w:rsid w:val="00654EBB"/>
    <w:rsid w:val="006E6A74"/>
    <w:rsid w:val="00701162"/>
    <w:rsid w:val="007030E4"/>
    <w:rsid w:val="00717826"/>
    <w:rsid w:val="007179E4"/>
    <w:rsid w:val="00717A12"/>
    <w:rsid w:val="00726DA1"/>
    <w:rsid w:val="00760A21"/>
    <w:rsid w:val="007A7FF1"/>
    <w:rsid w:val="00843C47"/>
    <w:rsid w:val="0085003C"/>
    <w:rsid w:val="008856F0"/>
    <w:rsid w:val="008C45A8"/>
    <w:rsid w:val="008F48D5"/>
    <w:rsid w:val="00A0742A"/>
    <w:rsid w:val="00A52CA7"/>
    <w:rsid w:val="00A52E50"/>
    <w:rsid w:val="00B1289A"/>
    <w:rsid w:val="00B447D6"/>
    <w:rsid w:val="00B50412"/>
    <w:rsid w:val="00C01AA9"/>
    <w:rsid w:val="00C9023A"/>
    <w:rsid w:val="00C902EB"/>
    <w:rsid w:val="00C971CB"/>
    <w:rsid w:val="00CE2EAB"/>
    <w:rsid w:val="00CE3641"/>
    <w:rsid w:val="00DB4FCF"/>
    <w:rsid w:val="00DC3DC9"/>
    <w:rsid w:val="00E12C8B"/>
    <w:rsid w:val="00E74384"/>
    <w:rsid w:val="00F04344"/>
    <w:rsid w:val="00F42E6E"/>
    <w:rsid w:val="00FB6296"/>
    <w:rsid w:val="00FD0313"/>
    <w:rsid w:val="00FE3FBA"/>
    <w:rsid w:val="00FE6CA8"/>
    <w:rsid w:val="09487C67"/>
    <w:rsid w:val="0E2A537C"/>
    <w:rsid w:val="13BC65D1"/>
    <w:rsid w:val="1E094AB6"/>
    <w:rsid w:val="201F1779"/>
    <w:rsid w:val="21C94558"/>
    <w:rsid w:val="26565E4B"/>
    <w:rsid w:val="271D113F"/>
    <w:rsid w:val="2A0C0AD3"/>
    <w:rsid w:val="2BA83DA3"/>
    <w:rsid w:val="33800F2B"/>
    <w:rsid w:val="3B815EAB"/>
    <w:rsid w:val="41095258"/>
    <w:rsid w:val="42924E00"/>
    <w:rsid w:val="440628EC"/>
    <w:rsid w:val="469579BA"/>
    <w:rsid w:val="537A56E1"/>
    <w:rsid w:val="58895F6F"/>
    <w:rsid w:val="5E001F01"/>
    <w:rsid w:val="5E2E6D86"/>
    <w:rsid w:val="5F062FB7"/>
    <w:rsid w:val="63297042"/>
    <w:rsid w:val="6545340F"/>
    <w:rsid w:val="66655DCA"/>
    <w:rsid w:val="66837E46"/>
    <w:rsid w:val="690751F8"/>
    <w:rsid w:val="71911BE4"/>
    <w:rsid w:val="71B3750F"/>
    <w:rsid w:val="7D4A246D"/>
    <w:rsid w:val="7D60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153"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4" w:line="246" w:lineRule="auto"/>
      <w:ind w:left="182" w:right="-15" w:hanging="10"/>
    </w:pPr>
    <w:rPr>
      <w:rFonts w:ascii="Calibri" w:hAnsi="Calibri" w:eastAsia="Calibri" w:cs="Calibri"/>
      <w:color w:val="000000"/>
      <w:kern w:val="2"/>
      <w:sz w:val="24"/>
      <w:szCs w:val="22"/>
      <w:lang w:val="en-US" w:eastAsia="zh-CN" w:bidi="ar-SA"/>
    </w:rPr>
  </w:style>
  <w:style w:type="paragraph" w:styleId="3">
    <w:name w:val="heading 1"/>
    <w:basedOn w:val="1"/>
    <w:next w:val="1"/>
    <w:link w:val="18"/>
    <w:unhideWhenUsed/>
    <w:qFormat/>
    <w:uiPriority w:val="9"/>
    <w:pPr>
      <w:keepNext/>
      <w:keepLines/>
      <w:spacing w:after="338" w:line="301" w:lineRule="auto"/>
      <w:ind w:left="10" w:right="-15" w:hanging="10"/>
      <w:jc w:val="center"/>
      <w:outlineLvl w:val="0"/>
    </w:pPr>
    <w:rPr>
      <w:rFonts w:ascii="Calibri" w:hAnsi="Calibri" w:eastAsia="Calibri" w:cs="Calibri"/>
      <w:color w:val="000000"/>
      <w:kern w:val="2"/>
      <w:sz w:val="32"/>
      <w:szCs w:val="22"/>
      <w:lang w:val="en-US" w:eastAsia="zh-CN" w:bidi="ar-SA"/>
    </w:rPr>
  </w:style>
  <w:style w:type="paragraph" w:styleId="4">
    <w:name w:val="heading 2"/>
    <w:basedOn w:val="1"/>
    <w:next w:val="1"/>
    <w:link w:val="19"/>
    <w:unhideWhenUsed/>
    <w:qFormat/>
    <w:uiPriority w:val="9"/>
    <w:pPr>
      <w:keepNext/>
      <w:keepLines/>
      <w:spacing w:after="613" w:line="246" w:lineRule="auto"/>
      <w:ind w:left="10" w:right="-15" w:hanging="10"/>
      <w:jc w:val="center"/>
      <w:outlineLvl w:val="1"/>
    </w:pPr>
    <w:rPr>
      <w:rFonts w:ascii="Calibri" w:hAnsi="Calibri" w:eastAsia="Calibri" w:cs="Calibri"/>
      <w:color w:val="000000"/>
      <w:kern w:val="2"/>
      <w:sz w:val="27"/>
      <w:szCs w:val="22"/>
      <w:lang w:val="en-US" w:eastAsia="zh-CN" w:bidi="ar-SA"/>
    </w:rPr>
  </w:style>
  <w:style w:type="paragraph" w:styleId="5">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Lines="50" w:line="360" w:lineRule="auto"/>
      <w:ind w:firstLine="200" w:firstLineChars="200"/>
    </w:pPr>
    <w:rPr>
      <w:rFonts w:ascii="仿宋_GB2312" w:eastAsia="仿宋_GB2312"/>
      <w:sz w:val="24"/>
      <w:szCs w:val="32"/>
    </w:rPr>
  </w:style>
  <w:style w:type="paragraph" w:styleId="6">
    <w:name w:val="Body Text 3"/>
    <w:basedOn w:val="1"/>
    <w:qFormat/>
    <w:uiPriority w:val="0"/>
    <w:rPr>
      <w:rFonts w:ascii="宋体"/>
      <w:sz w:val="24"/>
      <w:szCs w:val="20"/>
    </w:rPr>
  </w:style>
  <w:style w:type="paragraph" w:styleId="7">
    <w:name w:val="Body Text Indent"/>
    <w:basedOn w:val="1"/>
    <w:next w:val="8"/>
    <w:qFormat/>
    <w:uiPriority w:val="0"/>
    <w:pPr>
      <w:spacing w:after="120"/>
      <w:ind w:left="420" w:leftChars="200"/>
    </w:pPr>
    <w:rPr>
      <w:rFonts w:ascii="Times New Roman" w:hAnsi="Times New Roman"/>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0"/>
    <w:rPr>
      <w:rFonts w:ascii="Courier New" w:hAnsi="Courier New"/>
      <w:szCs w:val="20"/>
    </w:rPr>
  </w:style>
  <w:style w:type="paragraph" w:styleId="10">
    <w:name w:val="footer"/>
    <w:basedOn w:val="1"/>
    <w:qFormat/>
    <w:uiPriority w:val="99"/>
    <w:pPr>
      <w:tabs>
        <w:tab w:val="center" w:pos="4153"/>
        <w:tab w:val="right" w:pos="8306"/>
      </w:tabs>
      <w:snapToGrid w:val="0"/>
      <w:jc w:val="left"/>
    </w:pPr>
    <w:rPr>
      <w:sz w:val="18"/>
    </w:rPr>
  </w:style>
  <w:style w:type="paragraph" w:styleId="11">
    <w:name w:val="toc 1"/>
    <w:next w:val="1"/>
    <w:hidden/>
    <w:qFormat/>
    <w:uiPriority w:val="39"/>
    <w:pPr>
      <w:spacing w:after="197" w:line="377" w:lineRule="auto"/>
      <w:ind w:left="404" w:right="53"/>
      <w:jc w:val="both"/>
    </w:pPr>
    <w:rPr>
      <w:rFonts w:ascii="Calibri" w:hAnsi="Calibri" w:eastAsia="Calibri" w:cs="Calibri"/>
      <w:color w:val="000000"/>
      <w:kern w:val="2"/>
      <w:sz w:val="24"/>
      <w:szCs w:val="22"/>
      <w:lang w:val="en-US" w:eastAsia="zh-CN" w:bidi="ar-SA"/>
    </w:rPr>
  </w:style>
  <w:style w:type="paragraph" w:styleId="12">
    <w:name w:val="toc 2"/>
    <w:next w:val="1"/>
    <w:hidden/>
    <w:qFormat/>
    <w:uiPriority w:val="39"/>
    <w:pPr>
      <w:spacing w:after="197" w:line="377" w:lineRule="auto"/>
      <w:ind w:left="404" w:right="53"/>
      <w:jc w:val="both"/>
    </w:pPr>
    <w:rPr>
      <w:rFonts w:ascii="Calibri" w:hAnsi="Calibri" w:eastAsia="Calibri" w:cs="Calibri"/>
      <w:color w:val="000000"/>
      <w:kern w:val="2"/>
      <w:sz w:val="24"/>
      <w:szCs w:val="22"/>
      <w:lang w:val="en-US" w:eastAsia="zh-CN" w:bidi="ar-SA"/>
    </w:rPr>
  </w:style>
  <w:style w:type="paragraph" w:styleId="13">
    <w:name w:val="Normal (Web)"/>
    <w:basedOn w:val="1"/>
    <w:unhideWhenUsed/>
    <w:qFormat/>
    <w:uiPriority w:val="153"/>
    <w:pPr>
      <w:spacing w:before="100" w:beforeAutospacing="1" w:after="100" w:afterAutospacing="1"/>
      <w:jc w:val="left"/>
    </w:pPr>
    <w:rPr>
      <w:rFonts w:ascii="宋体" w:hAnsi="宋体" w:eastAsia="宋体" w:cs="宋体"/>
      <w:sz w:val="24"/>
      <w:szCs w:val="24"/>
    </w:rPr>
  </w:style>
  <w:style w:type="paragraph" w:styleId="14">
    <w:name w:val="Body Text First Indent 2"/>
    <w:basedOn w:val="7"/>
    <w:next w:val="1"/>
    <w:qFormat/>
    <w:uiPriority w:val="0"/>
    <w:pPr>
      <w:spacing w:after="120"/>
      <w:ind w:left="420" w:leftChars="200" w:firstLine="420"/>
    </w:pPr>
    <w:rPr>
      <w:rFonts w:ascii="Calibri" w:hAnsi="Calibri"/>
      <w:sz w:val="21"/>
      <w:szCs w:val="22"/>
      <w:lang w:val="en-US" w:eastAsia="zh-CN"/>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标题 1 Char"/>
    <w:link w:val="3"/>
    <w:qFormat/>
    <w:uiPriority w:val="0"/>
    <w:rPr>
      <w:rFonts w:ascii="Calibri" w:hAnsi="Calibri" w:eastAsia="Calibri" w:cs="Calibri"/>
      <w:color w:val="000000"/>
      <w:sz w:val="32"/>
    </w:rPr>
  </w:style>
  <w:style w:type="character" w:customStyle="1" w:styleId="19">
    <w:name w:val="标题 2 Char"/>
    <w:link w:val="4"/>
    <w:qFormat/>
    <w:uiPriority w:val="0"/>
    <w:rPr>
      <w:rFonts w:ascii="Calibri" w:hAnsi="Calibri" w:eastAsia="Calibri" w:cs="Calibri"/>
      <w:color w:val="000000"/>
      <w:sz w:val="27"/>
    </w:rPr>
  </w:style>
  <w:style w:type="table" w:customStyle="1" w:styleId="20">
    <w:name w:val="TableGrid"/>
    <w:qFormat/>
    <w:uiPriority w:val="0"/>
    <w:tblPr>
      <w:tblCellMar>
        <w:top w:w="0" w:type="dxa"/>
        <w:left w:w="0" w:type="dxa"/>
        <w:bottom w:w="0" w:type="dxa"/>
        <w:right w:w="0" w:type="dxa"/>
      </w:tblCellMar>
    </w:tblPr>
  </w:style>
  <w:style w:type="paragraph" w:styleId="21">
    <w:name w:val="List Paragraph"/>
    <w:basedOn w:val="1"/>
    <w:qFormat/>
    <w:uiPriority w:val="34"/>
    <w:pPr>
      <w:ind w:firstLine="420" w:firstLineChars="200"/>
    </w:pPr>
  </w:style>
  <w:style w:type="paragraph" w:customStyle="1" w:styleId="2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标题 2_0"/>
    <w:basedOn w:val="1"/>
    <w:next w:val="24"/>
    <w:qFormat/>
    <w:uiPriority w:val="0"/>
    <w:pPr>
      <w:keepNext/>
      <w:keepLines/>
      <w:spacing w:before="260" w:after="260" w:line="500" w:lineRule="exact"/>
      <w:jc w:val="center"/>
      <w:outlineLvl w:val="1"/>
    </w:pPr>
    <w:rPr>
      <w:rFonts w:ascii="黑体" w:hAnsi="宋体" w:eastAsia="黑体"/>
      <w:b/>
      <w:smallCaps/>
      <w:snapToGrid w:val="0"/>
      <w:kern w:val="0"/>
      <w:sz w:val="36"/>
      <w:szCs w:val="24"/>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85AC9-BCD1-4816-A2C6-6384253A2DF0}">
  <ds:schemaRefs/>
</ds:datastoreItem>
</file>

<file path=docProps/app.xml><?xml version="1.0" encoding="utf-8"?>
<Properties xmlns="http://schemas.openxmlformats.org/officeDocument/2006/extended-properties" xmlns:vt="http://schemas.openxmlformats.org/officeDocument/2006/docPropsVTypes">
  <Template>Normal.dotm</Template>
  <Pages>63</Pages>
  <Words>5162</Words>
  <Characters>29430</Characters>
  <Lines>245</Lines>
  <Paragraphs>69</Paragraphs>
  <TotalTime>14</TotalTime>
  <ScaleCrop>false</ScaleCrop>
  <LinksUpToDate>false</LinksUpToDate>
  <CharactersWithSpaces>34523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2021-10-27T10:51:00Z</dcterms:created>
  <dc:creator>admin</dc:creator>
  <cp:lastModifiedBy>多梦患者张美味</cp:lastModifiedBy>
  <cp:lastPrinted>2021-12-10T01:43:00Z</cp:lastPrinted>
  <dcterms:modified xsi:type="dcterms:W3CDTF">2021-12-13T07:23:18Z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69FF6D9CDACE4286A433061347BCACCC</vt:lpwstr>
  </property>
</Properties>
</file>